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hint="eastAsia" w:asciiTheme="majorEastAsia" w:hAnsiTheme="majorEastAsia" w:eastAsiaTheme="majorEastAsia" w:cstheme="majorEastAsia"/>
          <w:bCs/>
          <w:color w:val="000000"/>
        </w:rPr>
      </w:pPr>
      <w:r>
        <w:rPr>
          <w:rFonts w:hint="eastAsia" w:asciiTheme="majorEastAsia" w:hAnsiTheme="majorEastAsia" w:eastAsiaTheme="majorEastAsia" w:cstheme="majorEastAsia"/>
          <w:bCs/>
          <w:lang w:val="en-US" w:eastAsia="zh-CN"/>
        </w:rPr>
        <w:drawing>
          <wp:anchor distT="0" distB="0" distL="114300" distR="114300" simplePos="0" relativeHeight="251668480" behindDoc="1" locked="0" layoutInCell="1" allowOverlap="1">
            <wp:simplePos x="0" y="0"/>
            <wp:positionH relativeFrom="column">
              <wp:posOffset>4445</wp:posOffset>
            </wp:positionH>
            <wp:positionV relativeFrom="paragraph">
              <wp:posOffset>-168910</wp:posOffset>
            </wp:positionV>
            <wp:extent cx="431800" cy="431800"/>
            <wp:effectExtent l="0" t="0" r="6350" b="6350"/>
            <wp:wrapTight wrapText="bothSides">
              <wp:wrapPolygon>
                <wp:start x="0" y="0"/>
                <wp:lineTo x="0" y="20965"/>
                <wp:lineTo x="20965" y="20965"/>
                <wp:lineTo x="20965" y="0"/>
                <wp:lineTo x="0" y="0"/>
              </wp:wrapPolygon>
            </wp:wrapTight>
            <wp:docPr id="3" name="图片 3" descr="JCYW202403081274"/>
            <wp:cNvGraphicFramePr/>
            <a:graphic xmlns:a="http://schemas.openxmlformats.org/drawingml/2006/main">
              <a:graphicData uri="http://schemas.openxmlformats.org/drawingml/2006/picture">
                <pic:pic xmlns:pic="http://schemas.openxmlformats.org/drawingml/2006/picture">
                  <pic:nvPicPr>
                    <pic:cNvPr id="3" name="图片 3" descr="JCYW202403081274"/>
                    <pic:cNvPicPr/>
                  </pic:nvPicPr>
                  <pic:blipFill>
                    <a:blip r:embed="rId26"/>
                    <a:stretch>
                      <a:fillRect/>
                    </a:stretch>
                  </pic:blipFill>
                  <pic:spPr>
                    <a:xfrm>
                      <a:off x="0" y="0"/>
                      <a:ext cx="431800" cy="431800"/>
                    </a:xfrm>
                    <a:prstGeom prst="rect">
                      <a:avLst/>
                    </a:prstGeom>
                  </pic:spPr>
                </pic:pic>
              </a:graphicData>
            </a:graphic>
          </wp:anchor>
        </w:drawing>
      </w:r>
      <w:r>
        <w:rPr>
          <w:rFonts w:hint="eastAsia" w:asciiTheme="majorEastAsia" w:hAnsiTheme="majorEastAsia" w:eastAsiaTheme="majorEastAsia" w:cstheme="majorEastAsia"/>
          <w:bCs/>
          <w:lang w:val="en-US" w:eastAsia="zh-CN"/>
        </w:rPr>
        <w:t xml:space="preserve">     </w:t>
      </w:r>
    </w:p>
    <w:p>
      <w:pPr>
        <w:pStyle w:val="15"/>
        <w:jc w:val="both"/>
        <w:rPr>
          <w:rFonts w:hint="eastAsia" w:asciiTheme="majorEastAsia" w:hAnsiTheme="majorEastAsia" w:eastAsiaTheme="majorEastAsia" w:cstheme="majorEastAsia"/>
          <w:bCs/>
        </w:rPr>
      </w:pPr>
    </w:p>
    <w:p>
      <w:pPr>
        <w:pStyle w:val="15"/>
        <w:jc w:val="right"/>
        <w:rPr>
          <w:rFonts w:hint="eastAsia" w:asciiTheme="majorEastAsia" w:hAnsiTheme="majorEastAsia" w:eastAsiaTheme="majorEastAsia" w:cstheme="majorEastAsia"/>
          <w:bCs/>
        </w:rPr>
      </w:pPr>
      <w:r>
        <w:rPr>
          <w:rFonts w:hint="eastAsia" w:asciiTheme="majorEastAsia" w:hAnsiTheme="majorEastAsia" w:eastAsiaTheme="majorEastAsia" w:cstheme="majorEastAsia"/>
        </w:rP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7"/>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Theme="majorEastAsia" w:hAnsiTheme="majorEastAsia" w:eastAsiaTheme="majorEastAsia" w:cstheme="majorEastAsia"/>
          <w:bCs/>
          <w:lang w:val="en-US" w:eastAsia="zh-CN"/>
        </w:rPr>
      </w:pPr>
      <w:r>
        <w:rPr>
          <w:rFonts w:hint="eastAsia" w:asciiTheme="majorEastAsia" w:hAnsiTheme="majorEastAsia" w:eastAsiaTheme="majorEastAsia" w:cstheme="majorEastAsia"/>
          <w:bCs/>
          <w:lang w:val="en-US" w:eastAsia="zh-CN"/>
        </w:rPr>
        <w:t xml:space="preserve">                               </w:t>
      </w:r>
    </w:p>
    <w:p>
      <w:pPr>
        <w:pStyle w:val="15"/>
        <w:jc w:val="center"/>
        <w:rPr>
          <w:rFonts w:hint="eastAsia" w:asciiTheme="majorEastAsia" w:hAnsiTheme="majorEastAsia" w:eastAsiaTheme="majorEastAsia" w:cstheme="majorEastAsia"/>
          <w:bCs/>
          <w:lang w:eastAsia="zh-CN"/>
        </w:rPr>
      </w:pPr>
    </w:p>
    <w:p>
      <w:pPr>
        <w:pStyle w:val="15"/>
        <w:jc w:val="both"/>
        <w:outlineLvl w:val="9"/>
        <w:rPr>
          <w:rFonts w:hint="eastAsia" w:asciiTheme="majorEastAsia" w:hAnsiTheme="majorEastAsia" w:eastAsiaTheme="majorEastAsia" w:cstheme="majorEastAsia"/>
          <w:b/>
          <w:bCs w:val="0"/>
          <w:color w:val="auto"/>
          <w:w w:val="80"/>
          <w:sz w:val="72"/>
          <w:szCs w:val="72"/>
          <w:u w:val="none"/>
          <w:lang w:val="en-US" w:eastAsia="zh-CN"/>
        </w:rPr>
      </w:pPr>
      <w:bookmarkStart w:id="0" w:name="_Toc26466"/>
      <w:bookmarkStart w:id="1" w:name="_Toc3772"/>
      <w:r>
        <w:rPr>
          <w:rFonts w:hint="eastAsia" w:asciiTheme="majorEastAsia" w:hAnsiTheme="majorEastAsia" w:eastAsiaTheme="majorEastAsia" w:cstheme="majorEastAsia"/>
          <w:b/>
          <w:bCs w:val="0"/>
          <w:color w:val="auto"/>
          <w:w w:val="80"/>
          <w:sz w:val="72"/>
          <w:szCs w:val="72"/>
          <w:u w:val="none"/>
          <w:lang w:val="en-US" w:eastAsia="zh-CN"/>
        </w:rPr>
        <w:t xml:space="preserve">      </w:t>
      </w:r>
    </w:p>
    <w:p>
      <w:pPr>
        <w:pStyle w:val="15"/>
        <w:jc w:val="both"/>
        <w:outlineLvl w:val="9"/>
        <w:rPr>
          <w:rFonts w:hint="eastAsia" w:asciiTheme="majorEastAsia" w:hAnsiTheme="majorEastAsia" w:eastAsiaTheme="majorEastAsia" w:cstheme="majorEastAsia"/>
          <w:b/>
          <w:bCs w:val="0"/>
          <w:color w:val="auto"/>
          <w:w w:val="80"/>
          <w:sz w:val="72"/>
          <w:szCs w:val="72"/>
          <w:u w:val="none"/>
          <w:lang w:val="en-US" w:eastAsia="zh-CN"/>
        </w:rPr>
      </w:pPr>
    </w:p>
    <w:bookmarkEnd w:id="0"/>
    <w:bookmarkEnd w:id="1"/>
    <w:p>
      <w:pPr>
        <w:pStyle w:val="15"/>
        <w:ind w:right="960"/>
        <w:jc w:val="both"/>
        <w:rPr>
          <w:rFonts w:hint="eastAsia" w:asciiTheme="majorEastAsia" w:hAnsiTheme="majorEastAsia" w:eastAsiaTheme="majorEastAsia" w:cstheme="majorEastAsia"/>
          <w:bCs/>
          <w:color w:val="auto"/>
          <w:lang w:val="en-US" w:eastAsia="zh-CN"/>
        </w:rPr>
      </w:pPr>
      <w:r>
        <w:rPr>
          <w:rFonts w:hint="eastAsia" w:asciiTheme="majorEastAsia" w:hAnsiTheme="majorEastAsia" w:eastAsiaTheme="majorEastAsia" w:cstheme="majorEastAsia"/>
          <w:bCs/>
          <w:color w:val="auto"/>
          <w:lang w:val="en-US" w:eastAsia="zh-CN"/>
        </w:rPr>
        <w:t xml:space="preserve">   </w:t>
      </w:r>
    </w:p>
    <w:p>
      <w:pPr>
        <w:pStyle w:val="15"/>
        <w:jc w:val="center"/>
        <w:rPr>
          <w:rFonts w:hint="eastAsia" w:asciiTheme="majorEastAsia" w:hAnsiTheme="majorEastAsia" w:eastAsiaTheme="majorEastAsia" w:cstheme="majorEastAsia"/>
          <w:b/>
          <w:bCs/>
          <w:sz w:val="72"/>
          <w:szCs w:val="72"/>
          <w:lang w:val="en-US" w:eastAsia="zh-CN"/>
        </w:rPr>
      </w:pPr>
      <w:r>
        <w:rPr>
          <w:rFonts w:hint="eastAsia" w:asciiTheme="majorEastAsia" w:hAnsiTheme="majorEastAsia" w:eastAsiaTheme="majorEastAsia" w:cstheme="majorEastAsia"/>
          <w:b/>
          <w:bCs/>
          <w:sz w:val="72"/>
          <w:szCs w:val="72"/>
          <w:lang w:val="en-US" w:eastAsia="zh-CN"/>
        </w:rPr>
        <w:t>检 测 报 告</w:t>
      </w:r>
    </w:p>
    <w:p>
      <w:pPr>
        <w:pStyle w:val="15"/>
        <w:jc w:val="center"/>
        <w:rPr>
          <w:rFonts w:hint="eastAsia" w:asciiTheme="majorEastAsia" w:hAnsiTheme="majorEastAsia" w:eastAsiaTheme="majorEastAsia" w:cstheme="majorEastAsia"/>
          <w:b/>
          <w:bCs w:val="0"/>
          <w:color w:val="auto"/>
          <w:spacing w:val="227"/>
          <w:w w:val="80"/>
          <w:sz w:val="96"/>
          <w:szCs w:val="96"/>
          <w:lang w:val="en-US" w:eastAsia="zh-CN"/>
        </w:rPr>
      </w:pP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检测项目：</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2024年第一季度挥发性有机物检测</w:t>
      </w: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委托单位：</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山东万达化工有限公司</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bookmarkStart w:id="2" w:name="_Toc10998"/>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检测地点：</w:t>
      </w:r>
      <w:bookmarkEnd w:id="2"/>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山东省东营市永莘路68号</w:t>
      </w: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检测日期：</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2024年03月15日-2024年03月16日</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出具报告日期：</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2024年03月21日</w:t>
      </w:r>
    </w:p>
    <w:p>
      <w:pPr>
        <w:jc w:val="left"/>
        <w:rPr>
          <w:rFonts w:hint="eastAsia" w:asciiTheme="majorEastAsia" w:hAnsiTheme="majorEastAsia" w:eastAsiaTheme="majorEastAsia" w:cstheme="majorEastAsia"/>
          <w:szCs w:val="21"/>
        </w:rPr>
      </w:pPr>
    </w:p>
    <w:p>
      <w:pPr>
        <w:jc w:val="center"/>
        <w:outlineLvl w:val="0"/>
        <w:rPr>
          <w:rFonts w:hint="eastAsia" w:asciiTheme="majorEastAsia" w:hAnsiTheme="majorEastAsia" w:eastAsiaTheme="majorEastAsia" w:cstheme="majorEastAsia"/>
          <w:b/>
          <w:sz w:val="30"/>
          <w:szCs w:val="30"/>
          <w:lang w:eastAsia="zh-CN"/>
        </w:rPr>
      </w:pPr>
      <w:bookmarkStart w:id="3" w:name="_Toc31107"/>
      <w:bookmarkStart w:id="4" w:name="_Toc12368"/>
      <w:bookmarkStart w:id="5" w:name="_Toc13238"/>
      <w:bookmarkStart w:id="6" w:name="_Toc14839"/>
      <w:r>
        <w:rPr>
          <w:rFonts w:hint="eastAsia" w:asciiTheme="majorEastAsia" w:hAnsiTheme="majorEastAsia" w:eastAsiaTheme="majorEastAsia" w:cstheme="majorEastAsia"/>
          <w:b/>
          <w:sz w:val="30"/>
          <w:szCs w:val="30"/>
          <w:lang w:eastAsia="zh-CN"/>
        </w:rPr>
        <w:t>山东泓启环保技术服务有限公司</w:t>
      </w:r>
      <w:bookmarkEnd w:id="3"/>
      <w:bookmarkEnd w:id="4"/>
      <w:bookmarkEnd w:id="5"/>
      <w:bookmarkEnd w:id="6"/>
    </w:p>
    <w:p>
      <w:pPr>
        <w:pStyle w:val="15"/>
        <w:spacing w:line="360" w:lineRule="auto"/>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sectPr>
          <w:headerReference r:id="rId4" w:type="first"/>
          <w:footerReference r:id="rId6" w:type="first"/>
          <w:headerReference r:id="rId3" w:type="default"/>
          <w:footerReference r:id="rId5"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Theme="majorEastAsia" w:hAnsiTheme="majorEastAsia" w:eastAsiaTheme="majorEastAsia" w:cstheme="majorEastAsia"/>
          <w:sz w:val="24"/>
          <w:szCs w:val="24"/>
          <w:lang w:val="en-US" w:eastAsia="zh-CN" w:bidi="ar-SA"/>
        </w:rPr>
        <w:id w:val="147481536"/>
        <w15:color w:val="DBDBDB"/>
        <w:docPartObj>
          <w:docPartGallery w:val="Table of Contents"/>
          <w:docPartUnique/>
        </w:docPartObj>
      </w:sdtPr>
      <w:sdtEndPr>
        <w:rPr>
          <w:rFonts w:hint="eastAsia" w:asciiTheme="majorEastAsia" w:hAnsiTheme="majorEastAsia" w:eastAsiaTheme="majorEastAsia" w:cstheme="majorEastAsia"/>
          <w:sz w:val="28"/>
          <w:szCs w:val="28"/>
          <w:lang w:val="en-US" w:eastAsia="zh-CN" w:bidi="ar-SA"/>
        </w:rPr>
      </w:sdtEndPr>
      <w:sdtContent>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目录</w:t>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TOC \o "1-3" \h \u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_Toc17187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rPr>
            <w:t>说             明</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_Toc17187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1</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_Toc20906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资质证书</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_Toc20906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2</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_Toc25040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1. 挥发性有机物（VOCs）检测结果报告单</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_Toc25040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3</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_Toc17499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2. 挥发性有机物（VOC</w:t>
          </w:r>
          <w:r>
            <w:rPr>
              <w:rFonts w:hint="eastAsia" w:asciiTheme="majorEastAsia" w:hAnsiTheme="majorEastAsia" w:eastAsiaTheme="majorEastAsia" w:cstheme="majorEastAsia"/>
              <w:sz w:val="22"/>
              <w:szCs w:val="22"/>
            </w:rPr>
            <w:t>s</w:t>
          </w:r>
          <w:r>
            <w:rPr>
              <w:rFonts w:hint="eastAsia" w:asciiTheme="majorEastAsia" w:hAnsiTheme="majorEastAsia" w:eastAsiaTheme="majorEastAsia" w:cstheme="majorEastAsia"/>
              <w:sz w:val="22"/>
              <w:szCs w:val="22"/>
              <w:lang w:val="en-US" w:eastAsia="zh-CN"/>
            </w:rPr>
            <w:t>）检测报告表</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_Toc17499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4</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_Toc20789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3. 建档密封点与检测密封点情况</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_Toc20789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5</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_Toc1256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4. 装置密封点类型统计</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_Toc1256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5</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_Toc13307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5. 检测现场条件记录</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_Toc13307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6</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_Toc32110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6. 仪器校准记录</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_Toc32110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7</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_Toc15743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7. 检测记录</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_Toc15743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7</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_Toc1732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8. 仪器及标准物质认定证书</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_Toc1732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7</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_Toc27884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9. 现场检测照片</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_Toc27884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18</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2"/>
              <w:szCs w:val="22"/>
            </w:rPr>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 HYPERLINK \l _Toc18496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 w:val="22"/>
              <w:szCs w:val="22"/>
              <w:lang w:val="en-US" w:eastAsia="zh-CN"/>
            </w:rPr>
            <w:t>10.质量保证和质量控制</w:t>
          </w:r>
          <w:r>
            <w:rPr>
              <w:rFonts w:hint="eastAsia" w:asciiTheme="majorEastAsia" w:hAnsiTheme="majorEastAsia" w:eastAsiaTheme="majorEastAsia" w:cstheme="majorEastAsia"/>
              <w:sz w:val="22"/>
              <w:szCs w:val="22"/>
            </w:rPr>
            <w:tab/>
          </w:r>
          <w:r>
            <w:rPr>
              <w:rFonts w:hint="eastAsia" w:asciiTheme="majorEastAsia" w:hAnsiTheme="majorEastAsia" w:eastAsiaTheme="majorEastAsia" w:cstheme="majorEastAsia"/>
              <w:sz w:val="22"/>
              <w:szCs w:val="22"/>
            </w:rPr>
            <w:fldChar w:fldCharType="begin"/>
          </w:r>
          <w:r>
            <w:rPr>
              <w:rFonts w:hint="eastAsia" w:asciiTheme="majorEastAsia" w:hAnsiTheme="majorEastAsia" w:eastAsiaTheme="majorEastAsia" w:cstheme="majorEastAsia"/>
              <w:sz w:val="22"/>
              <w:szCs w:val="22"/>
            </w:rPr>
            <w:instrText xml:space="preserve"> PAGEREF _Toc18496 \h </w:instrText>
          </w:r>
          <w:r>
            <w:rPr>
              <w:rFonts w:hint="eastAsia" w:asciiTheme="majorEastAsia" w:hAnsiTheme="majorEastAsia" w:eastAsiaTheme="majorEastAsia" w:cstheme="majorEastAsia"/>
              <w:sz w:val="22"/>
              <w:szCs w:val="22"/>
            </w:rPr>
            <w:fldChar w:fldCharType="separate"/>
          </w:r>
          <w:r>
            <w:rPr>
              <w:rFonts w:hint="eastAsia" w:asciiTheme="majorEastAsia" w:hAnsiTheme="majorEastAsia" w:eastAsiaTheme="majorEastAsia" w:cstheme="majorEastAsia"/>
              <w:sz w:val="22"/>
              <w:szCs w:val="22"/>
            </w:rPr>
            <w:t>20</w:t>
          </w:r>
          <w:r>
            <w:rPr>
              <w:rFonts w:hint="eastAsia" w:asciiTheme="majorEastAsia" w:hAnsiTheme="majorEastAsia" w:eastAsiaTheme="majorEastAsia" w:cstheme="majorEastAsia"/>
              <w:sz w:val="22"/>
              <w:szCs w:val="22"/>
            </w:rPr>
            <w:fldChar w:fldCharType="end"/>
          </w:r>
          <w:r>
            <w:rPr>
              <w:rFonts w:hint="eastAsia" w:asciiTheme="majorEastAsia" w:hAnsiTheme="majorEastAsia" w:eastAsiaTheme="majorEastAsia" w:cstheme="majorEastAsia"/>
              <w:sz w:val="22"/>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2"/>
              <w:szCs w:val="22"/>
              <w:lang w:val="en-US" w:eastAsia="zh-CN"/>
            </w:rPr>
            <w:fldChar w:fldCharType="end"/>
          </w:r>
        </w:p>
      </w:sdtContent>
    </w:sdt>
    <w:p>
      <w:pPr>
        <w:pStyle w:val="15"/>
        <w:tabs>
          <w:tab w:val="left" w:pos="6363"/>
        </w:tabs>
        <w:spacing w:line="360" w:lineRule="auto"/>
        <w:ind w:firstLine="1124" w:firstLineChars="400"/>
        <w:jc w:val="left"/>
        <w:rPr>
          <w:rFonts w:hint="eastAsia" w:asciiTheme="majorEastAsia" w:hAnsiTheme="majorEastAsia" w:eastAsiaTheme="majorEastAsia" w:cstheme="majorEastAsia"/>
          <w:b/>
          <w:bCs/>
          <w:color w:val="000000"/>
          <w:sz w:val="28"/>
          <w:szCs w:val="28"/>
          <w:lang w:eastAsia="zh-CN"/>
        </w:rPr>
      </w:pPr>
      <w:r>
        <w:rPr>
          <w:rFonts w:hint="eastAsia" w:asciiTheme="majorEastAsia" w:hAnsiTheme="majorEastAsia" w:eastAsiaTheme="majorEastAsia" w:cstheme="majorEastAsia"/>
          <w:b/>
          <w:bCs/>
          <w:color w:val="000000"/>
          <w:sz w:val="28"/>
          <w:szCs w:val="28"/>
          <w:lang w:eastAsia="zh-CN"/>
        </w:rPr>
        <w:tab/>
      </w: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sectPr>
          <w:headerReference r:id="rId8" w:type="first"/>
          <w:footerReference r:id="rId10" w:type="first"/>
          <w:headerReference r:id="rId7" w:type="default"/>
          <w:footerReference r:id="rId9"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Theme="majorEastAsia" w:hAnsiTheme="majorEastAsia" w:eastAsiaTheme="majorEastAsia" w:cstheme="majorEastAsia"/>
          <w:b/>
          <w:sz w:val="32"/>
          <w:szCs w:val="32"/>
        </w:rPr>
      </w:pPr>
    </w:p>
    <w:p>
      <w:pPr>
        <w:ind w:firstLine="3534" w:firstLineChars="1100"/>
        <w:jc w:val="both"/>
        <w:outlineLvl w:val="0"/>
        <w:rPr>
          <w:rFonts w:hint="eastAsia" w:asciiTheme="majorEastAsia" w:hAnsiTheme="majorEastAsia" w:eastAsiaTheme="majorEastAsia" w:cstheme="majorEastAsia"/>
          <w:b/>
          <w:sz w:val="32"/>
          <w:szCs w:val="32"/>
        </w:rPr>
      </w:pPr>
      <w:bookmarkStart w:id="7" w:name="_Toc17187"/>
      <w:bookmarkStart w:id="8" w:name="_Toc23664"/>
      <w:r>
        <w:rPr>
          <w:rFonts w:hint="eastAsia" w:asciiTheme="majorEastAsia" w:hAnsiTheme="majorEastAsia" w:eastAsiaTheme="majorEastAsia" w:cstheme="majorEastAsia"/>
          <w:b/>
          <w:sz w:val="32"/>
          <w:szCs w:val="32"/>
        </w:rPr>
        <w:t>说             明</w:t>
      </w:r>
      <w:bookmarkEnd w:id="7"/>
      <w:bookmarkEnd w:id="8"/>
    </w:p>
    <w:p>
      <w:pPr>
        <w:spacing w:line="480" w:lineRule="auto"/>
        <w:ind w:left="482"/>
        <w:rPr>
          <w:rFonts w:hint="eastAsia" w:asciiTheme="majorEastAsia" w:hAnsiTheme="majorEastAsia" w:eastAsiaTheme="majorEastAsia" w:cstheme="majorEastAsia"/>
          <w:sz w:val="21"/>
          <w:szCs w:val="21"/>
        </w:rPr>
      </w:pP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一、对检测数据如有异议，请于收到报告之日起十五日内向本公司提出。</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二、报告无编制、审批、批准人签字无效。</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三、本报告未盖我公司</w:t>
      </w:r>
      <w:r>
        <w:rPr>
          <w:rFonts w:hint="eastAsia" w:asciiTheme="majorEastAsia" w:hAnsiTheme="majorEastAsia" w:eastAsiaTheme="majorEastAsia" w:cstheme="majorEastAsia"/>
          <w:sz w:val="21"/>
          <w:szCs w:val="21"/>
          <w:lang w:eastAsia="zh-CN"/>
        </w:rPr>
        <w:t>检测专用</w:t>
      </w:r>
      <w:r>
        <w:rPr>
          <w:rFonts w:hint="eastAsia" w:asciiTheme="majorEastAsia" w:hAnsiTheme="majorEastAsia" w:eastAsiaTheme="majorEastAsia" w:cstheme="majorEastAsia"/>
          <w:sz w:val="21"/>
          <w:szCs w:val="21"/>
        </w:rPr>
        <w:t>章、骑缝章及CMA章无效，报告涂改无效。</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四、未经本公司书面批准，不得复制报告和做评优、审批及商品宣传用，经同意复制的报告应加盖</w:t>
      </w:r>
      <w:r>
        <w:rPr>
          <w:rFonts w:hint="eastAsia" w:asciiTheme="majorEastAsia" w:hAnsiTheme="majorEastAsia" w:eastAsiaTheme="majorEastAsia" w:cstheme="majorEastAsia"/>
          <w:sz w:val="21"/>
          <w:szCs w:val="21"/>
          <w:lang w:val="en-US" w:eastAsia="zh-CN"/>
        </w:rPr>
        <w:t>山东泓启环保技术服务有限公司公章（全文复制除外）。</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五、本报告分为正本和副本，正本交客户，副本连同原始记录一并存档。</w:t>
      </w:r>
    </w:p>
    <w:p>
      <w:pPr>
        <w:ind w:left="480"/>
        <w:rPr>
          <w:rFonts w:hint="eastAsia" w:asciiTheme="majorEastAsia" w:hAnsiTheme="majorEastAsia" w:eastAsiaTheme="majorEastAsia" w:cstheme="majorEastAsia"/>
          <w:sz w:val="21"/>
          <w:szCs w:val="21"/>
        </w:rPr>
      </w:pPr>
    </w:p>
    <w:p>
      <w:pPr>
        <w:spacing w:line="480" w:lineRule="auto"/>
        <w:rPr>
          <w:rFonts w:hint="eastAsia" w:asciiTheme="majorEastAsia" w:hAnsiTheme="majorEastAsia" w:eastAsiaTheme="majorEastAsia" w:cstheme="majorEastAsia"/>
          <w:sz w:val="21"/>
          <w:szCs w:val="21"/>
        </w:rPr>
      </w:pP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检测机构：</w:t>
      </w:r>
      <w:r>
        <w:rPr>
          <w:rFonts w:hint="eastAsia" w:asciiTheme="majorEastAsia" w:hAnsiTheme="majorEastAsia" w:eastAsiaTheme="majorEastAsia" w:cstheme="majorEastAsia"/>
          <w:sz w:val="21"/>
          <w:szCs w:val="21"/>
          <w:lang w:val="en-US" w:eastAsia="zh-CN"/>
        </w:rPr>
        <w:t>山东泓启环保技术服务有限公司</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地址：</w:t>
      </w:r>
      <w:r>
        <w:rPr>
          <w:rFonts w:hint="eastAsia" w:asciiTheme="majorEastAsia" w:hAnsiTheme="majorEastAsia" w:eastAsiaTheme="majorEastAsia" w:cstheme="majorEastAsia"/>
          <w:sz w:val="21"/>
          <w:szCs w:val="21"/>
          <w:lang w:val="en-US" w:eastAsia="zh-CN"/>
        </w:rPr>
        <w:t>山东省东营市开发区运河路661号世誉建材广场1幢434号</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邮政编码：257</w:t>
      </w:r>
      <w:r>
        <w:rPr>
          <w:rFonts w:hint="eastAsia" w:asciiTheme="majorEastAsia" w:hAnsiTheme="majorEastAsia" w:eastAsiaTheme="majorEastAsia" w:cstheme="majorEastAsia"/>
          <w:sz w:val="21"/>
          <w:szCs w:val="21"/>
          <w:lang w:val="en-US" w:eastAsia="zh-CN"/>
        </w:rPr>
        <w:t>503</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联系电话：</w:t>
      </w:r>
      <w:r>
        <w:rPr>
          <w:rFonts w:hint="eastAsia" w:asciiTheme="majorEastAsia" w:hAnsiTheme="majorEastAsia" w:eastAsiaTheme="majorEastAsia" w:cstheme="majorEastAsia"/>
          <w:sz w:val="21"/>
          <w:szCs w:val="21"/>
          <w:lang w:val="en-US" w:eastAsia="zh-CN"/>
        </w:rPr>
        <w:t>18754667678</w:t>
      </w:r>
    </w:p>
    <w:p>
      <w:pPr>
        <w:pStyle w:val="14"/>
        <w:rPr>
          <w:rFonts w:hint="eastAsia" w:asciiTheme="majorEastAsia" w:hAnsiTheme="majorEastAsia" w:eastAsiaTheme="majorEastAsia" w:cstheme="majorEastAsia"/>
          <w:sz w:val="28"/>
          <w:szCs w:val="28"/>
          <w:lang w:val="en-US" w:eastAsia="zh-CN"/>
        </w:rPr>
      </w:pPr>
    </w:p>
    <w:p>
      <w:pPr>
        <w:rPr>
          <w:rFonts w:hint="eastAsia" w:asciiTheme="majorEastAsia" w:hAnsiTheme="majorEastAsia" w:eastAsiaTheme="majorEastAsia" w:cstheme="major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asciiTheme="majorEastAsia" w:hAnsiTheme="majorEastAsia" w:eastAsiaTheme="majorEastAsia" w:cstheme="majorEastAsia"/>
          <w:b/>
          <w:bCs/>
          <w:sz w:val="48"/>
          <w:szCs w:val="48"/>
          <w:lang w:val="en-US" w:eastAsia="zh-CN"/>
        </w:rPr>
      </w:pPr>
    </w:p>
    <w:p>
      <w:pPr>
        <w:pStyle w:val="3"/>
        <w:numPr>
          <w:ilvl w:val="0"/>
          <w:numId w:val="0"/>
        </w:numPr>
        <w:bidi w:val="0"/>
        <w:ind w:leftChars="0"/>
        <w:jc w:val="center"/>
        <w:rPr>
          <w:rFonts w:hint="eastAsia" w:asciiTheme="majorEastAsia" w:hAnsiTheme="majorEastAsia" w:eastAsiaTheme="majorEastAsia" w:cstheme="majorEastAsia"/>
          <w:color w:val="auto"/>
          <w:lang w:val="en-US" w:eastAsia="zh-CN"/>
        </w:rPr>
      </w:pPr>
      <w:bookmarkStart w:id="9" w:name="_Toc20906"/>
      <w:bookmarkStart w:id="10" w:name="_Toc12330"/>
      <w:r>
        <w:rPr>
          <w:rFonts w:hint="eastAsia" w:asciiTheme="majorEastAsia" w:hAnsiTheme="majorEastAsia" w:eastAsiaTheme="majorEastAsia" w:cstheme="majorEastAsia"/>
          <w:color w:val="auto"/>
          <w:lang w:val="en-US" w:eastAsia="zh-CN"/>
        </w:rPr>
        <w:t>资质证书</w:t>
      </w:r>
      <w:bookmarkEnd w:id="9"/>
      <w:bookmarkEnd w:id="10"/>
    </w:p>
    <w:p>
      <w:pPr>
        <w:pStyle w:val="15"/>
        <w:jc w:val="center"/>
        <w:rPr>
          <w:rFonts w:hint="eastAsia" w:asciiTheme="majorEastAsia" w:hAnsiTheme="majorEastAsia" w:eastAsiaTheme="majorEastAsia" w:cstheme="majorEastAsia"/>
          <w:lang w:val="en-US" w:eastAsia="zh-CN"/>
        </w:rPr>
        <w:sectPr>
          <w:footerReference r:id="rId12"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8"/>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Theme="majorEastAsia" w:hAnsiTheme="majorEastAsia" w:eastAsiaTheme="majorEastAsia" w:cstheme="majorEastAsia"/>
          <w:color w:val="auto"/>
          <w:lang w:val="en-US" w:eastAsia="zh-CN"/>
        </w:rPr>
      </w:pPr>
      <w:bookmarkStart w:id="11" w:name="_Toc25040"/>
      <w:bookmarkStart w:id="12" w:name="_Toc5607"/>
      <w:bookmarkStart w:id="13" w:name="_Toc4959"/>
      <w:r>
        <w:rPr>
          <w:rFonts w:hint="eastAsia" w:asciiTheme="majorEastAsia" w:hAnsiTheme="majorEastAsia" w:eastAsiaTheme="majorEastAsia" w:cstheme="majorEastAsia"/>
          <w:color w:val="auto"/>
          <w:lang w:val="en-US" w:eastAsia="zh-CN"/>
        </w:rPr>
        <w:t>挥发性有机物（VOC</w:t>
      </w:r>
      <w:r>
        <w:rPr>
          <w:rFonts w:hint="eastAsia" w:asciiTheme="majorEastAsia" w:hAnsiTheme="majorEastAsia" w:eastAsiaTheme="majorEastAsia" w:cstheme="majorEastAsia"/>
          <w:color w:val="auto"/>
          <w:sz w:val="24"/>
          <w:szCs w:val="24"/>
          <w:lang w:val="en-US" w:eastAsia="zh-CN"/>
        </w:rPr>
        <w:t>s</w:t>
      </w:r>
      <w:r>
        <w:rPr>
          <w:rFonts w:hint="eastAsia" w:asciiTheme="majorEastAsia" w:hAnsiTheme="majorEastAsia" w:eastAsiaTheme="majorEastAsia" w:cstheme="majorEastAsia"/>
          <w:color w:val="auto"/>
          <w:lang w:val="en-US" w:eastAsia="zh-CN"/>
        </w:rPr>
        <w:t>）检测结果报告单</w:t>
      </w:r>
      <w:bookmarkEnd w:id="11"/>
      <w:bookmarkEnd w:id="12"/>
      <w:bookmarkEnd w:id="13"/>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bookmarkStart w:id="14" w:name="_Toc9554"/>
            <w:r>
              <w:rPr>
                <w:rFonts w:hint="eastAsia" w:asciiTheme="majorEastAsia" w:hAnsiTheme="majorEastAsia" w:eastAsiaTheme="majorEastAsia" w:cstheme="majorEastAsia"/>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山东万达化工有限公司2024年第一季度挥发性有机物检测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山东万达化工有限公司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山东省东营市永莘路68号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2024年03月15日</w:t>
            </w:r>
          </w:p>
        </w:tc>
        <w:tc>
          <w:tcPr>
            <w:tcW w:w="1034"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2024年03月16日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仪器名称：便携式有毒挥发气体分析仪、手持气象站</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仪器型号：ZR-3130、WS-30</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仪器编号：T-003、T-004、T-008</w:t>
            </w:r>
          </w:p>
        </w:tc>
        <w:tc>
          <w:tcPr>
            <w:tcW w:w="80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2110"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《石油化学工业污染物排放标准》（GB 31571-2015）</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highlight w:val="none"/>
                <w:lang w:val="en-US" w:eastAsia="zh-CN"/>
              </w:rPr>
              <w:t>本轮项目检测：受控</w:t>
            </w:r>
            <w:bookmarkStart w:id="53" w:name="_GoBack"/>
            <w:bookmarkEnd w:id="53"/>
            <w:r>
              <w:rPr>
                <w:rFonts w:hint="eastAsia" w:asciiTheme="majorEastAsia" w:hAnsiTheme="majorEastAsia" w:eastAsiaTheme="majorEastAsia" w:cstheme="majorEastAsia"/>
                <w:color w:val="auto"/>
                <w:sz w:val="21"/>
                <w:szCs w:val="21"/>
                <w:highlight w:val="none"/>
                <w:lang w:val="en-US" w:eastAsia="zh-CN"/>
              </w:rPr>
              <w:t>密封点位1618个，实际检测密封点位1550个，不可达密封点位68个，发现泄漏密封点位6个，已修复合格泄漏点位6个，泄漏率为:0.37%。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刘吉文、李浩男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563"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授权签字人</w:t>
            </w:r>
          </w:p>
        </w:tc>
        <w:tc>
          <w:tcPr>
            <w:tcW w:w="931"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563"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签字时间</w:t>
            </w:r>
          </w:p>
        </w:tc>
        <w:tc>
          <w:tcPr>
            <w:tcW w:w="931"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r>
      <w:bookmarkEnd w:id="14"/>
    </w:tbl>
    <w:p>
      <w:pPr>
        <w:rPr>
          <w:rFonts w:hint="eastAsia" w:asciiTheme="majorEastAsia" w:hAnsiTheme="majorEastAsia" w:eastAsiaTheme="majorEastAsia" w:cstheme="majorEastAsia"/>
          <w:color w:val="auto"/>
          <w:lang w:val="en-US" w:eastAsia="zh-CN"/>
        </w:rPr>
      </w:pPr>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color w:val="auto"/>
          <w:lang w:val="en-US" w:eastAsia="zh-CN"/>
        </w:rPr>
      </w:pPr>
    </w:p>
    <w:p>
      <w:pPr>
        <w:pStyle w:val="2"/>
        <w:rPr>
          <w:rFonts w:hint="eastAsia" w:asciiTheme="majorEastAsia" w:hAnsiTheme="majorEastAsia" w:eastAsiaTheme="majorEastAsia" w:cstheme="majorEastAsia"/>
          <w:lang w:val="en-US" w:eastAsia="zh-CN"/>
        </w:rPr>
      </w:pPr>
    </w:p>
    <w:p>
      <w:pPr>
        <w:numPr>
          <w:ilvl w:val="0"/>
          <w:numId w:val="0"/>
        </w:numPr>
        <w:rPr>
          <w:rFonts w:hint="eastAsia" w:asciiTheme="majorEastAsia" w:hAnsiTheme="majorEastAsia" w:eastAsiaTheme="majorEastAsia" w:cstheme="majorEastAsia"/>
          <w:lang w:val="en-US" w:eastAsia="zh-CN"/>
        </w:rPr>
      </w:pPr>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sz w:val="18"/>
          <w:szCs w:val="18"/>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15" w:name="_Toc22899"/>
      <w:bookmarkStart w:id="16" w:name="_Toc15413"/>
      <w:bookmarkStart w:id="17" w:name="_Toc14682"/>
      <w:bookmarkStart w:id="18" w:name="_Toc25542"/>
      <w:bookmarkStart w:id="19" w:name="_Toc17499"/>
      <w:r>
        <w:rPr>
          <w:rFonts w:hint="eastAsia" w:asciiTheme="majorEastAsia" w:hAnsiTheme="majorEastAsia" w:eastAsiaTheme="majorEastAsia" w:cstheme="majorEastAsia"/>
          <w:color w:val="auto"/>
          <w:lang w:val="en-US" w:eastAsia="zh-CN"/>
        </w:rPr>
        <w:t>挥发性有机物（VOC</w:t>
      </w:r>
      <w:r>
        <w:rPr>
          <w:rFonts w:hint="eastAsia" w:asciiTheme="majorEastAsia" w:hAnsiTheme="majorEastAsia" w:eastAsiaTheme="majorEastAsia" w:cstheme="majorEastAsia"/>
          <w:color w:val="auto"/>
          <w:sz w:val="21"/>
          <w:szCs w:val="21"/>
        </w:rPr>
        <w:t>s</w:t>
      </w:r>
      <w:r>
        <w:rPr>
          <w:rFonts w:hint="eastAsia" w:asciiTheme="majorEastAsia" w:hAnsiTheme="majorEastAsia" w:eastAsiaTheme="majorEastAsia" w:cstheme="majorEastAsia"/>
          <w:color w:val="auto"/>
          <w:lang w:val="en-US" w:eastAsia="zh-CN"/>
        </w:rPr>
        <w:t>）检测报告</w:t>
      </w:r>
      <w:bookmarkEnd w:id="15"/>
      <w:bookmarkEnd w:id="16"/>
      <w:bookmarkEnd w:id="17"/>
      <w:r>
        <w:rPr>
          <w:rFonts w:hint="eastAsia" w:asciiTheme="majorEastAsia" w:hAnsiTheme="majorEastAsia" w:eastAsiaTheme="majorEastAsia" w:cstheme="majorEastAsia"/>
          <w:color w:val="auto"/>
          <w:lang w:val="en-US" w:eastAsia="zh-CN"/>
        </w:rPr>
        <w:t>表</w:t>
      </w:r>
      <w:bookmarkEnd w:id="18"/>
      <w:bookmarkEnd w:id="19"/>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633"/>
        <w:gridCol w:w="1882"/>
        <w:gridCol w:w="1119"/>
        <w:gridCol w:w="1271"/>
        <w:gridCol w:w="1165"/>
        <w:gridCol w:w="865"/>
        <w:gridCol w:w="928"/>
        <w:gridCol w:w="11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
                <w:bCs w:val="0"/>
                <w:color w:val="auto"/>
                <w:sz w:val="24"/>
                <w:szCs w:val="24"/>
                <w:lang w:val="en-US" w:eastAsia="zh-CN"/>
              </w:rPr>
              <w:t>密封点检测报告表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838" w:type="dxa"/>
            <w:vMerge w:val="restart"/>
            <w:noWrap w:val="0"/>
            <w:textDirection w:val="tbRlV"/>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检测结果</w:t>
            </w: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序号</w:t>
            </w:r>
          </w:p>
        </w:tc>
        <w:tc>
          <w:tcPr>
            <w:tcW w:w="1882" w:type="dxa"/>
            <w:noWrap w:val="0"/>
            <w:vAlign w:val="center"/>
          </w:tcPr>
          <w:p>
            <w:pPr>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区域装置</w:t>
            </w:r>
          </w:p>
        </w:tc>
        <w:tc>
          <w:tcPr>
            <w:tcW w:w="1119"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lang w:val="en-US" w:eastAsia="zh-CN"/>
              </w:rPr>
              <w:t>密封点</w:t>
            </w:r>
            <w:r>
              <w:rPr>
                <w:rFonts w:hint="eastAsia" w:asciiTheme="majorEastAsia" w:hAnsiTheme="majorEastAsia" w:eastAsiaTheme="majorEastAsia" w:cstheme="majorEastAsia"/>
                <w:bCs/>
                <w:sz w:val="21"/>
                <w:szCs w:val="21"/>
              </w:rPr>
              <w:t>（个）</w:t>
            </w:r>
          </w:p>
        </w:tc>
        <w:tc>
          <w:tcPr>
            <w:tcW w:w="1271"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实际检测（个）</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不可达密封点（个）</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泄漏点（个）</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修复点数（个）</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ODA一装置</w:t>
            </w:r>
          </w:p>
        </w:tc>
        <w:tc>
          <w:tcPr>
            <w:tcW w:w="1119"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373</w:t>
            </w:r>
          </w:p>
        </w:tc>
        <w:tc>
          <w:tcPr>
            <w:tcW w:w="1271"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373</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2</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ODA二装置</w:t>
            </w:r>
          </w:p>
        </w:tc>
        <w:tc>
          <w:tcPr>
            <w:tcW w:w="1119" w:type="dxa"/>
            <w:noWrap w:val="0"/>
            <w:vAlign w:val="center"/>
          </w:tcPr>
          <w:p>
            <w:pPr>
              <w:pStyle w:val="18"/>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851</w:t>
            </w:r>
          </w:p>
        </w:tc>
        <w:tc>
          <w:tcPr>
            <w:tcW w:w="1271" w:type="dxa"/>
            <w:noWrap w:val="0"/>
            <w:vAlign w:val="center"/>
          </w:tcPr>
          <w:p>
            <w:pPr>
              <w:pStyle w:val="18"/>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820</w:t>
            </w:r>
          </w:p>
        </w:tc>
        <w:tc>
          <w:tcPr>
            <w:tcW w:w="1165"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31</w:t>
            </w:r>
          </w:p>
        </w:tc>
        <w:tc>
          <w:tcPr>
            <w:tcW w:w="865" w:type="dxa"/>
            <w:noWrap w:val="0"/>
            <w:vAlign w:val="center"/>
          </w:tcPr>
          <w:p>
            <w:pPr>
              <w:tabs>
                <w:tab w:val="center" w:pos="384"/>
                <w:tab w:val="left" w:pos="502"/>
              </w:tabs>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3</w:t>
            </w:r>
          </w:p>
        </w:tc>
        <w:tc>
          <w:tcPr>
            <w:tcW w:w="928"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3</w:t>
            </w:r>
          </w:p>
        </w:tc>
        <w:tc>
          <w:tcPr>
            <w:tcW w:w="1153"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储运装置</w:t>
            </w:r>
          </w:p>
        </w:tc>
        <w:tc>
          <w:tcPr>
            <w:tcW w:w="1119"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394</w:t>
            </w:r>
          </w:p>
        </w:tc>
        <w:tc>
          <w:tcPr>
            <w:tcW w:w="1271"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357</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37</w:t>
            </w:r>
          </w:p>
        </w:tc>
        <w:tc>
          <w:tcPr>
            <w:tcW w:w="865" w:type="dxa"/>
            <w:noWrap w:val="0"/>
            <w:vAlign w:val="center"/>
          </w:tcPr>
          <w:p>
            <w:pPr>
              <w:tabs>
                <w:tab w:val="center" w:pos="384"/>
                <w:tab w:val="left" w:pos="502"/>
              </w:tabs>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2</w:t>
            </w:r>
          </w:p>
        </w:tc>
        <w:tc>
          <w:tcPr>
            <w:tcW w:w="928"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2</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83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合计</w:t>
            </w:r>
          </w:p>
        </w:tc>
        <w:tc>
          <w:tcPr>
            <w:tcW w:w="2515" w:type="dxa"/>
            <w:gridSpan w:val="2"/>
            <w:tcBorders>
              <w:tr2bl w:val="single" w:color="auto" w:sz="4" w:space="0"/>
            </w:tcBorders>
            <w:noWrap w:val="0"/>
            <w:vAlign w:val="center"/>
          </w:tcPr>
          <w:p>
            <w:pPr>
              <w:ind w:firstLine="360" w:firstLineChars="0"/>
              <w:jc w:val="center"/>
              <w:rPr>
                <w:rFonts w:hint="eastAsia" w:asciiTheme="majorEastAsia" w:hAnsiTheme="majorEastAsia" w:eastAsiaTheme="majorEastAsia" w:cstheme="majorEastAsia"/>
                <w:bCs/>
                <w:sz w:val="21"/>
                <w:szCs w:val="21"/>
              </w:rPr>
            </w:pPr>
          </w:p>
        </w:tc>
        <w:tc>
          <w:tcPr>
            <w:tcW w:w="1119"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1618</w:t>
            </w:r>
          </w:p>
        </w:tc>
        <w:tc>
          <w:tcPr>
            <w:tcW w:w="1271" w:type="dxa"/>
            <w:noWrap w:val="0"/>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86</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68</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5" w:type="pct"/>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检测</w:t>
            </w:r>
          </w:p>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结论</w:t>
            </w:r>
          </w:p>
        </w:tc>
        <w:tc>
          <w:tcPr>
            <w:tcW w:w="4574"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Theme="majorEastAsia" w:hAnsiTheme="majorEastAsia" w:eastAsiaTheme="majorEastAsia" w:cstheme="majorEastAsia"/>
                <w:sz w:val="21"/>
                <w:szCs w:val="21"/>
                <w:highlight w:val="none"/>
              </w:rPr>
            </w:pPr>
            <w:r>
              <w:rPr>
                <w:rFonts w:hint="eastAsia" w:asciiTheme="majorEastAsia" w:hAnsiTheme="majorEastAsia" w:eastAsiaTheme="majorEastAsia" w:cstheme="majorEastAsia"/>
                <w:bCs/>
                <w:sz w:val="21"/>
                <w:szCs w:val="21"/>
                <w:highlight w:val="none"/>
                <w:lang w:val="en-US" w:eastAsia="zh-CN"/>
              </w:rPr>
              <w:t>山东万达化工有限公司泄漏检测项目，依</w:t>
            </w:r>
            <w:r>
              <w:rPr>
                <w:rFonts w:hint="eastAsia" w:asciiTheme="majorEastAsia" w:hAnsiTheme="majorEastAsia" w:eastAsiaTheme="majorEastAsia" w:cstheme="majorEastAsia"/>
                <w:bCs/>
                <w:sz w:val="21"/>
                <w:szCs w:val="21"/>
                <w:highlight w:val="none"/>
              </w:rPr>
              <w:t>据《</w:t>
            </w:r>
            <w:r>
              <w:rPr>
                <w:rFonts w:hint="eastAsia" w:asciiTheme="majorEastAsia" w:hAnsiTheme="majorEastAsia" w:eastAsiaTheme="majorEastAsia" w:cstheme="majorEastAsia"/>
                <w:sz w:val="21"/>
                <w:szCs w:val="21"/>
                <w:highlight w:val="none"/>
              </w:rPr>
              <w:t>泄漏和敞开液面排放的挥发性有机物检测技术导则》</w:t>
            </w:r>
            <w:r>
              <w:rPr>
                <w:rFonts w:hint="eastAsia" w:asciiTheme="majorEastAsia" w:hAnsiTheme="majorEastAsia" w:eastAsiaTheme="majorEastAsia" w:cstheme="majorEastAsia"/>
                <w:color w:val="auto"/>
                <w:sz w:val="21"/>
                <w:szCs w:val="21"/>
                <w:highlight w:val="none"/>
              </w:rPr>
              <w:t>（HJ733—2014）</w:t>
            </w:r>
            <w:r>
              <w:rPr>
                <w:rFonts w:hint="eastAsia" w:asciiTheme="majorEastAsia" w:hAnsiTheme="majorEastAsia" w:eastAsiaTheme="majorEastAsia" w:cstheme="majorEastAsia"/>
                <w:sz w:val="21"/>
                <w:szCs w:val="21"/>
                <w:highlight w:val="none"/>
              </w:rPr>
              <w:t>、</w:t>
            </w:r>
            <w:r>
              <w:rPr>
                <w:rFonts w:hint="eastAsia" w:asciiTheme="majorEastAsia" w:hAnsiTheme="majorEastAsia" w:eastAsiaTheme="majorEastAsia" w:cstheme="majorEastAsia"/>
                <w:sz w:val="21"/>
                <w:szCs w:val="21"/>
                <w:highlight w:val="none"/>
                <w:lang w:val="en-US" w:eastAsia="zh-CN"/>
              </w:rPr>
              <w:t xml:space="preserve">《石油化学工业污染物排放标准》（GB 31571-2015） </w:t>
            </w:r>
            <w:r>
              <w:rPr>
                <w:rFonts w:hint="eastAsia" w:asciiTheme="majorEastAsia" w:hAnsiTheme="majorEastAsia" w:eastAsiaTheme="majorEastAsia" w:cstheme="majorEastAsia"/>
                <w:highlight w:val="none"/>
                <w:lang w:val="en-US" w:eastAsia="zh-CN"/>
              </w:rPr>
              <w:t>、《东营市挥发性有机物泄漏检测与修复（LDAR）实施技术导则》（东环字【2020】31号）</w:t>
            </w:r>
            <w:r>
              <w:rPr>
                <w:rFonts w:hint="eastAsia" w:asciiTheme="majorEastAsia" w:hAnsiTheme="majorEastAsia" w:eastAsiaTheme="majorEastAsia" w:cstheme="majorEastAsia"/>
                <w:sz w:val="21"/>
                <w:szCs w:val="21"/>
                <w:highlight w:val="none"/>
              </w:rPr>
              <w:t>及企业生产</w:t>
            </w:r>
            <w:r>
              <w:rPr>
                <w:rFonts w:hint="eastAsia" w:asciiTheme="majorEastAsia" w:hAnsiTheme="majorEastAsia" w:eastAsiaTheme="majorEastAsia" w:cstheme="majorEastAsia"/>
                <w:bCs/>
                <w:sz w:val="21"/>
                <w:szCs w:val="21"/>
                <w:highlight w:val="none"/>
              </w:rPr>
              <w:t>项目安排，</w:t>
            </w:r>
            <w:r>
              <w:rPr>
                <w:rFonts w:hint="eastAsia" w:asciiTheme="majorEastAsia" w:hAnsiTheme="majorEastAsia" w:eastAsiaTheme="majorEastAsia" w:cstheme="majorEastAsia"/>
                <w:bCs/>
                <w:sz w:val="21"/>
                <w:szCs w:val="21"/>
                <w:highlight w:val="none"/>
                <w:lang w:eastAsia="zh-CN"/>
              </w:rPr>
              <w:t>全厂生产装置泄漏检测项目需开展检测的设备与管线动</w:t>
            </w:r>
            <w:r>
              <w:rPr>
                <w:rFonts w:hint="eastAsia" w:asciiTheme="majorEastAsia" w:hAnsiTheme="majorEastAsia" w:eastAsiaTheme="majorEastAsia" w:cstheme="majorEastAsia"/>
                <w:bCs/>
                <w:sz w:val="21"/>
                <w:szCs w:val="21"/>
                <w:highlight w:val="none"/>
                <w:lang w:val="en-US" w:eastAsia="zh-CN"/>
              </w:rPr>
              <w:t>密封点</w:t>
            </w:r>
            <w:r>
              <w:rPr>
                <w:rFonts w:hint="eastAsia" w:asciiTheme="majorEastAsia" w:hAnsiTheme="majorEastAsia" w:eastAsiaTheme="majorEastAsia" w:cstheme="majorEastAsia"/>
                <w:bCs/>
                <w:sz w:val="21"/>
                <w:szCs w:val="21"/>
                <w:highlight w:val="none"/>
                <w:lang w:eastAsia="zh-CN"/>
              </w:rPr>
              <w:t>共</w:t>
            </w:r>
            <w:r>
              <w:rPr>
                <w:rFonts w:hint="eastAsia" w:asciiTheme="majorEastAsia" w:hAnsiTheme="majorEastAsia" w:eastAsiaTheme="majorEastAsia" w:cstheme="majorEastAsia"/>
                <w:bCs/>
                <w:sz w:val="21"/>
                <w:szCs w:val="21"/>
                <w:highlight w:val="none"/>
                <w:lang w:val="en-US" w:eastAsia="zh-CN"/>
              </w:rPr>
              <w:t>1618</w:t>
            </w:r>
            <w:r>
              <w:rPr>
                <w:rFonts w:hint="eastAsia" w:asciiTheme="majorEastAsia" w:hAnsiTheme="majorEastAsia" w:eastAsiaTheme="majorEastAsia" w:cstheme="majorEastAsia"/>
                <w:bCs/>
                <w:sz w:val="21"/>
                <w:szCs w:val="21"/>
                <w:highlight w:val="none"/>
                <w:lang w:eastAsia="zh-CN"/>
              </w:rPr>
              <w:t>个，其中实际检测</w:t>
            </w:r>
            <w:r>
              <w:rPr>
                <w:rFonts w:hint="eastAsia" w:asciiTheme="majorEastAsia" w:hAnsiTheme="majorEastAsia" w:eastAsiaTheme="majorEastAsia" w:cstheme="majorEastAsia"/>
                <w:bCs/>
                <w:sz w:val="21"/>
                <w:szCs w:val="21"/>
                <w:highlight w:val="none"/>
                <w:lang w:val="en-US" w:eastAsia="zh-CN"/>
              </w:rPr>
              <w:t>密封点1550</w:t>
            </w:r>
            <w:r>
              <w:rPr>
                <w:rFonts w:hint="eastAsia" w:asciiTheme="majorEastAsia" w:hAnsiTheme="majorEastAsia" w:eastAsiaTheme="majorEastAsia" w:cstheme="majorEastAsia"/>
                <w:bCs/>
                <w:sz w:val="21"/>
                <w:szCs w:val="21"/>
                <w:highlight w:val="none"/>
                <w:lang w:eastAsia="zh-CN"/>
              </w:rPr>
              <w:t>个，不可达密封点</w:t>
            </w:r>
            <w:r>
              <w:rPr>
                <w:rFonts w:hint="eastAsia" w:asciiTheme="majorEastAsia" w:hAnsiTheme="majorEastAsia" w:eastAsiaTheme="majorEastAsia" w:cstheme="majorEastAsia"/>
                <w:bCs/>
                <w:sz w:val="21"/>
                <w:szCs w:val="21"/>
                <w:highlight w:val="none"/>
                <w:lang w:val="en-US" w:eastAsia="zh-CN"/>
              </w:rPr>
              <w:t>68</w:t>
            </w:r>
            <w:r>
              <w:rPr>
                <w:rFonts w:hint="eastAsia" w:asciiTheme="majorEastAsia" w:hAnsiTheme="majorEastAsia" w:eastAsiaTheme="majorEastAsia" w:cstheme="majorEastAsia"/>
                <w:bCs/>
                <w:sz w:val="21"/>
                <w:szCs w:val="21"/>
                <w:highlight w:val="none"/>
                <w:lang w:eastAsia="zh-CN"/>
              </w:rPr>
              <w:t>个，检测泄漏密封点</w:t>
            </w:r>
            <w:r>
              <w:rPr>
                <w:rFonts w:hint="eastAsia" w:asciiTheme="majorEastAsia" w:hAnsiTheme="majorEastAsia" w:eastAsiaTheme="majorEastAsia" w:cstheme="majorEastAsia"/>
                <w:bCs/>
                <w:sz w:val="21"/>
                <w:szCs w:val="21"/>
                <w:highlight w:val="none"/>
                <w:lang w:val="en-US" w:eastAsia="zh-CN"/>
              </w:rPr>
              <w:t>6</w:t>
            </w:r>
            <w:r>
              <w:rPr>
                <w:rFonts w:hint="eastAsia" w:asciiTheme="majorEastAsia" w:hAnsiTheme="majorEastAsia" w:eastAsiaTheme="majorEastAsia" w:cstheme="majorEastAsia"/>
                <w:bCs/>
                <w:sz w:val="21"/>
                <w:szCs w:val="21"/>
                <w:highlight w:val="none"/>
                <w:lang w:eastAsia="zh-CN"/>
              </w:rPr>
              <w:t>个，已修复合格泄漏密封</w:t>
            </w:r>
            <w:r>
              <w:rPr>
                <w:rFonts w:hint="eastAsia" w:asciiTheme="majorEastAsia" w:hAnsiTheme="majorEastAsia" w:eastAsiaTheme="majorEastAsia" w:cstheme="majorEastAsia"/>
                <w:bCs/>
                <w:sz w:val="21"/>
                <w:szCs w:val="21"/>
                <w:highlight w:val="none"/>
                <w:lang w:val="en-US" w:eastAsia="zh-CN"/>
              </w:rPr>
              <w:t>62</w:t>
            </w:r>
            <w:r>
              <w:rPr>
                <w:rFonts w:hint="eastAsia" w:asciiTheme="majorEastAsia" w:hAnsiTheme="majorEastAsia" w:eastAsiaTheme="majorEastAsia" w:cstheme="majorEastAsia"/>
                <w:bCs/>
                <w:sz w:val="21"/>
                <w:szCs w:val="21"/>
                <w:highlight w:val="none"/>
                <w:lang w:eastAsia="zh-CN"/>
              </w:rPr>
              <w:t>个，剩余未修复密封点</w:t>
            </w:r>
            <w:r>
              <w:rPr>
                <w:rFonts w:hint="eastAsia" w:asciiTheme="majorEastAsia" w:hAnsiTheme="majorEastAsia" w:eastAsiaTheme="majorEastAsia" w:cstheme="majorEastAsia"/>
                <w:bCs/>
                <w:sz w:val="21"/>
                <w:szCs w:val="21"/>
                <w:highlight w:val="none"/>
                <w:lang w:val="en-US" w:eastAsia="zh-CN"/>
              </w:rPr>
              <w:t>0</w:t>
            </w:r>
            <w:r>
              <w:rPr>
                <w:rFonts w:hint="eastAsia" w:asciiTheme="majorEastAsia" w:hAnsiTheme="majorEastAsia" w:eastAsiaTheme="majorEastAsia" w:cstheme="majorEastAsia"/>
                <w:bCs/>
                <w:sz w:val="21"/>
                <w:szCs w:val="21"/>
                <w:highlight w:val="none"/>
                <w:lang w:eastAsia="zh-CN"/>
              </w:rPr>
              <w:t>个</w:t>
            </w:r>
            <w:r>
              <w:rPr>
                <w:rFonts w:hint="eastAsia" w:asciiTheme="majorEastAsia" w:hAnsiTheme="majorEastAsia" w:eastAsiaTheme="majorEastAsia" w:cstheme="majorEastAsia"/>
                <w:sz w:val="21"/>
                <w:szCs w:val="21"/>
                <w:highlight w:val="none"/>
              </w:rPr>
              <w:t>。</w:t>
            </w:r>
          </w:p>
          <w:p>
            <w:pPr>
              <w:widowControl/>
              <w:ind w:firstLine="360"/>
              <w:rPr>
                <w:rFonts w:hint="eastAsia" w:asciiTheme="majorEastAsia" w:hAnsiTheme="majorEastAsia" w:eastAsiaTheme="majorEastAsia" w:cstheme="majorEastAsia"/>
                <w:sz w:val="18"/>
                <w:szCs w:val="18"/>
                <w:highlight w:val="none"/>
              </w:rPr>
            </w:pPr>
            <w:r>
              <w:rPr>
                <w:rFonts w:hint="eastAsia" w:asciiTheme="majorEastAsia" w:hAnsiTheme="majorEastAsia" w:eastAsiaTheme="majorEastAsia" w:cstheme="majorEastAsia"/>
                <w:sz w:val="18"/>
                <w:szCs w:val="18"/>
                <w:highlight w:val="none"/>
              </w:rPr>
              <w:t xml:space="preserve">                         </w:t>
            </w: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18"/>
                <w:szCs w:val="18"/>
              </w:rPr>
              <w:t xml:space="preserve">                                </w:t>
            </w:r>
            <w:r>
              <w:rPr>
                <w:rFonts w:hint="eastAsia" w:asciiTheme="majorEastAsia" w:hAnsiTheme="majorEastAsia" w:eastAsiaTheme="majorEastAsia" w:cstheme="majorEastAsia"/>
                <w:sz w:val="21"/>
                <w:szCs w:val="21"/>
              </w:rPr>
              <w:t xml:space="preserve"> 盖  章：</w:t>
            </w:r>
          </w:p>
          <w:p>
            <w:pPr>
              <w:ind w:firstLine="360"/>
              <w:jc w:val="center"/>
              <w:rPr>
                <w:rFonts w:hint="eastAsia" w:asciiTheme="majorEastAsia" w:hAnsiTheme="majorEastAsia" w:eastAsiaTheme="majorEastAsia" w:cstheme="majorEastAsia"/>
                <w:b/>
                <w:sz w:val="21"/>
                <w:szCs w:val="21"/>
              </w:rPr>
            </w:pPr>
            <w:r>
              <w:rPr>
                <w:rFonts w:hint="eastAsia" w:asciiTheme="majorEastAsia" w:hAnsiTheme="majorEastAsia" w:eastAsiaTheme="majorEastAsia" w:cstheme="majorEastAsia"/>
                <w:sz w:val="21"/>
                <w:szCs w:val="21"/>
              </w:rPr>
              <w:t xml:space="preserve">                                       年      月      日</w:t>
            </w:r>
          </w:p>
          <w:p>
            <w:pPr>
              <w:ind w:firstLine="361"/>
              <w:jc w:val="center"/>
              <w:rPr>
                <w:rFonts w:hint="eastAsia" w:asciiTheme="majorEastAsia" w:hAnsiTheme="majorEastAsia" w:eastAsiaTheme="majorEastAsia" w:cstheme="majorEastAsia"/>
                <w:sz w:val="18"/>
                <w:szCs w:val="18"/>
              </w:rPr>
            </w:pPr>
            <w:r>
              <w:rPr>
                <w:rFonts w:hint="eastAsia" w:asciiTheme="majorEastAsia" w:hAnsiTheme="majorEastAsia" w:eastAsiaTheme="majorEastAsia" w:cstheme="majorEastAsia"/>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5" w:type="pct"/>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备注</w:t>
            </w:r>
          </w:p>
        </w:tc>
        <w:tc>
          <w:tcPr>
            <w:tcW w:w="4574" w:type="pct"/>
            <w:gridSpan w:val="8"/>
            <w:noWrap w:val="0"/>
            <w:vAlign w:val="center"/>
          </w:tcPr>
          <w:p>
            <w:pPr>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不可达密封点：指空间距离、隔离等物理因素或安全因素，难以或无法实施常规检测的密封点</w:t>
            </w:r>
          </w:p>
          <w:p>
            <w:pPr>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泄漏点数量：指泄漏值&gt;</w:t>
            </w:r>
            <w:r>
              <w:rPr>
                <w:rFonts w:hint="eastAsia" w:asciiTheme="majorEastAsia" w:hAnsiTheme="majorEastAsia" w:eastAsiaTheme="majorEastAsia" w:cstheme="majorEastAsia"/>
                <w:sz w:val="21"/>
                <w:szCs w:val="21"/>
                <w:lang w:val="en-US" w:eastAsia="zh-CN"/>
              </w:rPr>
              <w:t>500</w:t>
            </w:r>
            <w:r>
              <w:rPr>
                <w:rFonts w:hint="eastAsia" w:asciiTheme="majorEastAsia" w:hAnsiTheme="majorEastAsia" w:eastAsiaTheme="majorEastAsia" w:cstheme="majorEastAsia"/>
                <w:sz w:val="21"/>
                <w:szCs w:val="21"/>
                <w:lang w:eastAsia="zh-CN"/>
              </w:rPr>
              <w:t>μmol/mol</w:t>
            </w:r>
            <w:r>
              <w:rPr>
                <w:rFonts w:hint="eastAsia" w:asciiTheme="majorEastAsia" w:hAnsiTheme="majorEastAsia" w:eastAsiaTheme="majorEastAsia" w:cstheme="majorEastAsia"/>
                <w:sz w:val="21"/>
                <w:szCs w:val="21"/>
              </w:rPr>
              <w:t>的密封点数量</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lang w:val="en-US" w:eastAsia="zh-CN"/>
              </w:rPr>
              <w:t>有机气体和挥发性有机液体</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指泄漏值&gt;</w:t>
            </w:r>
            <w:r>
              <w:rPr>
                <w:rFonts w:hint="eastAsia" w:asciiTheme="majorEastAsia" w:hAnsiTheme="majorEastAsia" w:eastAsiaTheme="majorEastAsia" w:cstheme="majorEastAsia"/>
                <w:sz w:val="21"/>
                <w:szCs w:val="21"/>
                <w:lang w:val="en-US" w:eastAsia="zh-CN"/>
              </w:rPr>
              <w:t>2</w:t>
            </w:r>
            <w:r>
              <w:rPr>
                <w:rFonts w:hint="eastAsia" w:asciiTheme="majorEastAsia" w:hAnsiTheme="majorEastAsia" w:eastAsiaTheme="majorEastAsia" w:cstheme="majorEastAsia"/>
                <w:sz w:val="21"/>
                <w:szCs w:val="21"/>
              </w:rPr>
              <w:t>0</w:t>
            </w:r>
            <w:r>
              <w:rPr>
                <w:rFonts w:hint="eastAsia" w:asciiTheme="majorEastAsia" w:hAnsiTheme="majorEastAsia" w:eastAsiaTheme="majorEastAsia" w:cstheme="majorEastAsia"/>
                <w:sz w:val="21"/>
                <w:szCs w:val="21"/>
                <w:lang w:val="en-US" w:eastAsia="zh-CN"/>
              </w:rPr>
              <w:t>0</w:t>
            </w:r>
            <w:r>
              <w:rPr>
                <w:rFonts w:hint="eastAsia" w:asciiTheme="majorEastAsia" w:hAnsiTheme="majorEastAsia" w:eastAsiaTheme="majorEastAsia" w:cstheme="majorEastAsia"/>
                <w:sz w:val="21"/>
                <w:szCs w:val="21"/>
                <w:lang w:eastAsia="zh-CN"/>
              </w:rPr>
              <w:t>μmol/mol</w:t>
            </w:r>
            <w:r>
              <w:rPr>
                <w:rFonts w:hint="eastAsia" w:asciiTheme="majorEastAsia" w:hAnsiTheme="majorEastAsia" w:eastAsiaTheme="majorEastAsia" w:cstheme="majorEastAsia"/>
                <w:sz w:val="21"/>
                <w:szCs w:val="21"/>
              </w:rPr>
              <w:t>的密封点数量</w:t>
            </w:r>
            <w:r>
              <w:rPr>
                <w:rFonts w:hint="eastAsia" w:asciiTheme="majorEastAsia" w:hAnsiTheme="majorEastAsia" w:eastAsiaTheme="majorEastAsia" w:cstheme="majorEastAsia"/>
                <w:sz w:val="21"/>
                <w:szCs w:val="21"/>
                <w:lang w:val="en-US" w:eastAsia="zh-CN"/>
              </w:rPr>
              <w:t>(重液体）。</w:t>
            </w:r>
          </w:p>
          <w:p>
            <w:pPr>
              <w:spacing w:line="276" w:lineRule="auto"/>
              <w:ind w:firstLine="0" w:firstLineChars="0"/>
              <w:jc w:val="left"/>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延迟修复条件</w:t>
            </w:r>
            <w:r>
              <w:rPr>
                <w:rFonts w:hint="eastAsia" w:asciiTheme="majorEastAsia" w:hAnsiTheme="majorEastAsia" w:eastAsiaTheme="majorEastAsia" w:cstheme="majorEastAsia"/>
                <w:sz w:val="21"/>
                <w:szCs w:val="21"/>
                <w:lang w:eastAsia="zh-CN"/>
              </w:rPr>
              <w:t>：</w:t>
            </w:r>
          </w:p>
          <w:p>
            <w:pPr>
              <w:spacing w:line="276" w:lineRule="auto"/>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符合以下条件之一的泄漏点可延迟修复：</w:t>
            </w:r>
          </w:p>
          <w:p>
            <w:pPr>
              <w:numPr>
                <w:ilvl w:val="0"/>
                <w:numId w:val="0"/>
              </w:numPr>
              <w:ind w:left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a</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若检测到泄漏后，在不关闭工艺单元的条件下，在15日内进行维修技术上不可行；</w:t>
            </w:r>
          </w:p>
          <w:p>
            <w:pPr>
              <w:numPr>
                <w:ilvl w:val="0"/>
                <w:numId w:val="0"/>
              </w:numPr>
              <w:ind w:left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b）</w:t>
            </w:r>
            <w:r>
              <w:rPr>
                <w:rFonts w:hint="eastAsia" w:asciiTheme="majorEastAsia" w:hAnsiTheme="majorEastAsia" w:eastAsiaTheme="majorEastAsia" w:cstheme="majorEastAsia"/>
                <w:sz w:val="21"/>
                <w:szCs w:val="21"/>
              </w:rPr>
              <w:t>立即维修存在安全风险；</w:t>
            </w:r>
          </w:p>
          <w:p>
            <w:pPr>
              <w:numPr>
                <w:ilvl w:val="0"/>
                <w:numId w:val="0"/>
              </w:numPr>
              <w:ind w:leftChars="0"/>
              <w:jc w:val="left"/>
              <w:rPr>
                <w:rFonts w:hint="eastAsia" w:asciiTheme="majorEastAsia" w:hAnsiTheme="majorEastAsia" w:eastAsiaTheme="majorEastAsia" w:cstheme="majorEastAsia"/>
                <w:sz w:val="18"/>
                <w:szCs w:val="18"/>
              </w:rPr>
            </w:pPr>
            <w:r>
              <w:rPr>
                <w:rFonts w:hint="eastAsia" w:asciiTheme="majorEastAsia" w:hAnsiTheme="majorEastAsia" w:eastAsiaTheme="majorEastAsia" w:cstheme="majorEastAsia"/>
                <w:sz w:val="21"/>
                <w:szCs w:val="21"/>
                <w:lang w:val="en-US" w:eastAsia="zh-CN"/>
              </w:rPr>
              <w:t>c）</w:t>
            </w:r>
            <w:r>
              <w:rPr>
                <w:rFonts w:hint="eastAsia" w:asciiTheme="majorEastAsia" w:hAnsiTheme="majorEastAsia" w:eastAsiaTheme="majorEastAsia" w:cstheme="majorEastAsia"/>
                <w:sz w:val="21"/>
                <w:szCs w:val="21"/>
              </w:rPr>
              <w:t>泄漏密封点立即维修引发的VOCs排放量大于泄漏点延迟修复造成的排放量，应尽可能回收泄漏点延迟修复过程中排放的涉VOCs物料；</w:t>
            </w:r>
          </w:p>
        </w:tc>
      </w:tr>
    </w:tbl>
    <w:p>
      <w:pPr>
        <w:pStyle w:val="2"/>
        <w:rPr>
          <w:rFonts w:hint="eastAsia" w:asciiTheme="majorEastAsia" w:hAnsiTheme="majorEastAsia" w:eastAsiaTheme="majorEastAsia" w:cstheme="majorEastAsia"/>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20" w:name="_Toc18722"/>
      <w:bookmarkStart w:id="21" w:name="_Toc23582"/>
      <w:bookmarkStart w:id="22" w:name="_Toc16445"/>
      <w:bookmarkStart w:id="23" w:name="_Toc20789"/>
      <w:bookmarkStart w:id="24" w:name="_Toc25944"/>
      <w:bookmarkStart w:id="25" w:name="_Toc20325"/>
      <w:bookmarkStart w:id="26" w:name="_Toc1264"/>
      <w:r>
        <w:rPr>
          <w:rFonts w:hint="eastAsia" w:asciiTheme="majorEastAsia" w:hAnsiTheme="majorEastAsia" w:eastAsiaTheme="majorEastAsia" w:cstheme="majorEastAsia"/>
          <w:color w:val="auto"/>
          <w:lang w:val="en-US" w:eastAsia="zh-CN"/>
        </w:rPr>
        <w:t>建档密封点与检测密封点情况</w:t>
      </w:r>
      <w:bookmarkEnd w:id="20"/>
      <w:bookmarkEnd w:id="21"/>
      <w:bookmarkEnd w:id="22"/>
      <w:bookmarkEnd w:id="23"/>
      <w:bookmarkEnd w:id="24"/>
      <w:bookmarkEnd w:id="25"/>
      <w:bookmarkEnd w:id="26"/>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检测密封点数（个）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1"/>
                <w:szCs w:val="21"/>
                <w:lang w:val="en-US" w:eastAsia="zh-CN"/>
              </w:rPr>
              <w:t>ODA一装置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373</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373</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2</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1"/>
                <w:szCs w:val="21"/>
                <w:lang w:val="en-US" w:eastAsia="zh-CN"/>
              </w:rPr>
              <w:t>ODA二装置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851</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820</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31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3</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sz w:val="21"/>
                <w:szCs w:val="21"/>
                <w:lang w:val="en-US" w:eastAsia="zh-CN"/>
              </w:rPr>
              <w:t>储运装置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394</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357</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37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合计</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1618</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1550</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68</w:t>
            </w:r>
          </w:p>
        </w:tc>
      </w:tr>
    </w:tbl>
    <w:p>
      <w:pPr>
        <w:rPr>
          <w:rFonts w:hint="eastAsia" w:asciiTheme="majorEastAsia" w:hAnsiTheme="majorEastAsia" w:eastAsiaTheme="majorEastAsia" w:cstheme="majorEastAsia"/>
          <w:color w:val="auto"/>
          <w:lang w:val="en-US" w:eastAsia="zh-CN"/>
        </w:rPr>
      </w:pPr>
      <w:bookmarkStart w:id="27" w:name="_Toc32444"/>
      <w:bookmarkStart w:id="28" w:name="_Toc20586"/>
      <w:bookmarkStart w:id="29" w:name="_Toc16471"/>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0" w:name="_Toc1256"/>
      <w:bookmarkStart w:id="31" w:name="_Toc10499"/>
      <w:r>
        <w:rPr>
          <w:rFonts w:hint="eastAsia" w:asciiTheme="majorEastAsia" w:hAnsiTheme="majorEastAsia" w:eastAsiaTheme="majorEastAsia" w:cstheme="majorEastAsia"/>
          <w:color w:val="auto"/>
          <w:lang w:val="en-US" w:eastAsia="zh-CN"/>
        </w:rPr>
        <w:t>装置密封点类型统计</w:t>
      </w:r>
      <w:bookmarkEnd w:id="27"/>
      <w:bookmarkEnd w:id="28"/>
      <w:bookmarkEnd w:id="29"/>
      <w:bookmarkEnd w:id="30"/>
      <w:bookmarkEnd w:id="31"/>
    </w:p>
    <w:tbl>
      <w:tblPr>
        <w:tblStyle w:val="11"/>
        <w:tblpPr w:leftFromText="180" w:rightFromText="180" w:vertAnchor="text" w:horzAnchor="page" w:tblpX="1329" w:tblpY="186"/>
        <w:tblOverlap w:val="never"/>
        <w:tblW w:w="9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序号</w:t>
            </w:r>
          </w:p>
        </w:tc>
        <w:tc>
          <w:tcPr>
            <w:tcW w:w="3457" w:type="dxa"/>
            <w:gridSpan w:val="2"/>
            <w:tcBorders>
              <w:tl2br w:val="nil"/>
              <w:tr2bl w:val="nil"/>
            </w:tcBorders>
            <w:shd w:val="clear" w:color="auto" w:fill="auto"/>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密封点类型</w:t>
            </w:r>
          </w:p>
        </w:tc>
        <w:tc>
          <w:tcPr>
            <w:tcW w:w="2052" w:type="dxa"/>
            <w:tcBorders>
              <w:tl2br w:val="nil"/>
              <w:tr2bl w:val="nil"/>
            </w:tcBorders>
            <w:shd w:val="clear" w:color="auto" w:fill="auto"/>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建档密封点数量(个)</w:t>
            </w:r>
          </w:p>
        </w:tc>
        <w:tc>
          <w:tcPr>
            <w:tcW w:w="1466" w:type="dxa"/>
            <w:tcBorders>
              <w:tl2br w:val="nil"/>
              <w:tr2bl w:val="nil"/>
            </w:tcBorders>
            <w:shd w:val="clear" w:color="auto" w:fill="auto"/>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不可达密封点数量(个)</w:t>
            </w:r>
          </w:p>
        </w:tc>
        <w:tc>
          <w:tcPr>
            <w:tcW w:w="1466" w:type="dxa"/>
            <w:tcBorders>
              <w:tl2br w:val="nil"/>
              <w:tr2bl w:val="nil"/>
            </w:tcBorders>
            <w:shd w:val="clear" w:color="auto" w:fill="auto"/>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w:t>
            </w:r>
          </w:p>
        </w:tc>
        <w:tc>
          <w:tcPr>
            <w:tcW w:w="1107" w:type="dxa"/>
            <w:vMerge w:val="restart"/>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动密封点</w:t>
            </w:r>
          </w:p>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阀门(V)</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1472</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61</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1411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2</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开口阀或开口管线(O)</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105</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7</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3</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泵(P)</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5</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4</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搅拌器(A)</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36</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5</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压缩机(Y)</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6</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泄压设备(R)</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7</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其他(Q)</w:t>
            </w:r>
          </w:p>
        </w:tc>
        <w:tc>
          <w:tcPr>
            <w:tcW w:w="2052"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c>
          <w:tcPr>
            <w:tcW w:w="1466" w:type="dxa"/>
            <w:tcBorders>
              <w:tl2br w:val="nil"/>
              <w:tr2bl w:val="nil"/>
            </w:tcBorders>
            <w:shd w:val="clear" w:color="auto" w:fill="auto"/>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8</w:t>
            </w:r>
          </w:p>
        </w:tc>
        <w:tc>
          <w:tcPr>
            <w:tcW w:w="1107" w:type="dxa"/>
            <w:vMerge w:val="continue"/>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p>
        </w:tc>
        <w:tc>
          <w:tcPr>
            <w:tcW w:w="2350"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合计</w:t>
            </w:r>
          </w:p>
        </w:tc>
        <w:tc>
          <w:tcPr>
            <w:tcW w:w="2052"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1618</w:t>
            </w:r>
          </w:p>
        </w:tc>
        <w:tc>
          <w:tcPr>
            <w:tcW w:w="146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68</w:t>
            </w:r>
          </w:p>
        </w:tc>
        <w:tc>
          <w:tcPr>
            <w:tcW w:w="1466" w:type="dxa"/>
            <w:tcBorders>
              <w:tl2br w:val="nil"/>
              <w:tr2bl w:val="nil"/>
            </w:tcBorders>
            <w:shd w:val="clear" w:color="auto" w:fill="auto"/>
            <w:noWrap/>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2"/>
                <w:szCs w:val="22"/>
                <w:lang w:val="en-US" w:eastAsia="zh-CN"/>
              </w:rPr>
              <w:t>1550</w:t>
            </w:r>
          </w:p>
        </w:tc>
      </w:tr>
    </w:tbl>
    <w:p>
      <w:pPr>
        <w:jc w:val="center"/>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2" w:name="_Toc10761"/>
      <w:bookmarkStart w:id="33" w:name="_Toc12364"/>
      <w:bookmarkStart w:id="34" w:name="_Toc4739"/>
      <w:bookmarkStart w:id="35" w:name="_Toc13307"/>
      <w:bookmarkStart w:id="36" w:name="_Toc14952"/>
      <w:r>
        <w:rPr>
          <w:rFonts w:hint="eastAsia" w:asciiTheme="majorEastAsia" w:hAnsiTheme="majorEastAsia" w:eastAsiaTheme="majorEastAsia" w:cstheme="majorEastAsia"/>
          <w:color w:val="auto"/>
          <w:lang w:val="en-US" w:eastAsia="zh-CN"/>
        </w:rPr>
        <w:t>检测现场条件记录</w:t>
      </w:r>
      <w:bookmarkEnd w:id="32"/>
      <w:bookmarkEnd w:id="33"/>
      <w:bookmarkEnd w:id="34"/>
      <w:bookmarkEnd w:id="35"/>
      <w:bookmarkEnd w:id="36"/>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436"/>
        <w:gridCol w:w="1309"/>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序号</w:t>
            </w:r>
          </w:p>
        </w:tc>
        <w:tc>
          <w:tcPr>
            <w:tcW w:w="738"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日期</w:t>
            </w:r>
          </w:p>
        </w:tc>
        <w:tc>
          <w:tcPr>
            <w:tcW w:w="673"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装置名称</w:t>
            </w:r>
          </w:p>
        </w:tc>
        <w:tc>
          <w:tcPr>
            <w:tcW w:w="744"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环境本底值</w:t>
            </w:r>
          </w:p>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（µmol/mol）</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风速（m/s）</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温度（℃）</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湿度（%）</w:t>
            </w:r>
          </w:p>
        </w:tc>
        <w:tc>
          <w:tcPr>
            <w:tcW w:w="624"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w:t>
            </w:r>
          </w:p>
        </w:tc>
        <w:tc>
          <w:tcPr>
            <w:tcW w:w="738"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2024-03-15</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ODA一装置</w:t>
            </w:r>
          </w:p>
        </w:tc>
        <w:tc>
          <w:tcPr>
            <w:tcW w:w="74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1.5</w:t>
            </w:r>
          </w:p>
        </w:tc>
        <w:tc>
          <w:tcPr>
            <w:tcW w:w="622"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2.4</w:t>
            </w:r>
          </w:p>
        </w:tc>
        <w:tc>
          <w:tcPr>
            <w:tcW w:w="622"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15</w:t>
            </w:r>
          </w:p>
        </w:tc>
        <w:tc>
          <w:tcPr>
            <w:tcW w:w="622"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56</w:t>
            </w:r>
          </w:p>
        </w:tc>
        <w:tc>
          <w:tcPr>
            <w:tcW w:w="624" w:type="pct"/>
            <w:vMerge w:val="restar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储运装置</w:t>
            </w:r>
          </w:p>
        </w:tc>
        <w:tc>
          <w:tcPr>
            <w:tcW w:w="74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1.4</w:t>
            </w:r>
          </w:p>
        </w:tc>
        <w:tc>
          <w:tcPr>
            <w:tcW w:w="622"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622"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622"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624"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w:t>
            </w:r>
          </w:p>
        </w:tc>
        <w:tc>
          <w:tcPr>
            <w:tcW w:w="738"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2024-03-16</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ODA二装置</w:t>
            </w:r>
          </w:p>
        </w:tc>
        <w:tc>
          <w:tcPr>
            <w:tcW w:w="74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1.3</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2.1</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15</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37</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西风</w:t>
            </w:r>
          </w:p>
        </w:tc>
      </w:tr>
    </w:tbl>
    <w:p>
      <w:pPr>
        <w:jc w:val="center"/>
        <w:rPr>
          <w:rFonts w:hint="eastAsia" w:asciiTheme="majorEastAsia" w:hAnsiTheme="majorEastAsia" w:eastAsiaTheme="majorEastAsia" w:cstheme="majorEastAsia"/>
          <w:b w:val="0"/>
          <w:bCs w:val="0"/>
          <w:lang w:val="en-US" w:eastAsia="zh-CN"/>
        </w:rPr>
      </w:pPr>
    </w:p>
    <w:p>
      <w:pPr>
        <w:jc w:val="center"/>
        <w:rPr>
          <w:rFonts w:hint="eastAsia" w:asciiTheme="majorEastAsia" w:hAnsiTheme="majorEastAsia" w:eastAsiaTheme="majorEastAsia" w:cstheme="majorEastAsia"/>
          <w:b w:val="0"/>
          <w:bCs w:val="0"/>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7" w:name="_Toc4967"/>
      <w:bookmarkStart w:id="38" w:name="_Toc2528"/>
      <w:bookmarkStart w:id="39" w:name="_Toc32110"/>
      <w:r>
        <w:rPr>
          <w:rFonts w:hint="eastAsia" w:asciiTheme="majorEastAsia" w:hAnsiTheme="majorEastAsia" w:eastAsiaTheme="majorEastAsia" w:cstheme="majorEastAsia"/>
          <w:color w:val="auto"/>
          <w:lang w:val="en-US" w:eastAsia="zh-CN"/>
        </w:rPr>
        <w:t>仪器校准记录</w:t>
      </w:r>
      <w:bookmarkEnd w:id="37"/>
      <w:bookmarkEnd w:id="38"/>
      <w:bookmarkEnd w:id="39"/>
      <w:r>
        <w:rPr>
          <w:rFonts w:hint="eastAsia" w:asciiTheme="majorEastAsia" w:hAnsiTheme="majorEastAsia" w:eastAsiaTheme="majorEastAsia" w:cstheme="majorEastAsia"/>
          <w:color w:val="auto"/>
          <w:lang w:val="en-US" w:eastAsia="zh-CN"/>
        </w:rPr>
        <w:t>　　</w:t>
      </w:r>
    </w:p>
    <w:p>
      <w:pPr>
        <w:rPr>
          <w:rFonts w:hint="eastAsia" w:asciiTheme="majorEastAsia" w:hAnsiTheme="majorEastAsia" w:eastAsiaTheme="majorEastAsia" w:cstheme="majorEastAsia"/>
          <w:lang w:val="en-US" w:eastAsia="zh-CN"/>
        </w:rPr>
      </w:pPr>
      <w:bookmarkStart w:id="40" w:name="_Toc20890"/>
      <w:bookmarkStart w:id="41" w:name="_Toc10948"/>
      <w:r>
        <w:rPr>
          <w:rFonts w:hint="eastAsia" w:asciiTheme="majorEastAsia" w:hAnsiTheme="majorEastAsia" w:eastAsiaTheme="majorEastAsia" w:cstheme="majorEastAsia"/>
          <w:lang w:val="en-US" w:eastAsia="zh-CN"/>
        </w:rPr>
        <w:t>详见采样仪器校正记录表</w:t>
      </w:r>
      <w:bookmarkEnd w:id="40"/>
      <w:bookmarkEnd w:id="41"/>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pStyle w:val="2"/>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42" w:name="_Toc15743"/>
      <w:bookmarkStart w:id="43" w:name="_Toc13672"/>
      <w:r>
        <w:rPr>
          <w:rFonts w:hint="eastAsia" w:asciiTheme="majorEastAsia" w:hAnsiTheme="majorEastAsia" w:eastAsiaTheme="majorEastAsia" w:cstheme="majorEastAsia"/>
          <w:color w:val="auto"/>
          <w:lang w:val="en-US" w:eastAsia="zh-CN"/>
        </w:rPr>
        <w:t>检测记录</w:t>
      </w:r>
      <w:bookmarkEnd w:id="42"/>
      <w:bookmarkEnd w:id="43"/>
    </w:p>
    <w:p>
      <w:pP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val="en-US" w:eastAsia="zh-CN"/>
        </w:rPr>
        <w:t>详见附件：山东万达化工有限公司2024年第一季度密封点台账</w:t>
      </w:r>
    </w:p>
    <w:p>
      <w:pPr>
        <w:rPr>
          <w:rFonts w:hint="eastAsia" w:asciiTheme="majorEastAsia" w:hAnsiTheme="majorEastAsia" w:eastAsiaTheme="majorEastAsia" w:cstheme="majorEastAsia"/>
          <w:lang w:val="en-US" w:eastAsia="zh-CN"/>
        </w:rPr>
      </w:pPr>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44" w:name="_Toc2760"/>
      <w:bookmarkStart w:id="45" w:name="_Toc467"/>
      <w:bookmarkStart w:id="46" w:name="_Toc1732"/>
      <w:r>
        <w:rPr>
          <w:rFonts w:hint="eastAsia" w:asciiTheme="majorEastAsia" w:hAnsiTheme="majorEastAsia" w:eastAsiaTheme="majorEastAsia" w:cstheme="majorEastAsia"/>
          <w:color w:val="auto"/>
          <w:lang w:val="en-US" w:eastAsia="zh-CN"/>
        </w:rPr>
        <w:t>仪器及标准物质认定证书</w:t>
      </w:r>
      <w:bookmarkEnd w:id="44"/>
      <w:bookmarkEnd w:id="45"/>
      <w:bookmarkEnd w:id="46"/>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Theme="majorEastAsia" w:hAnsiTheme="majorEastAsia" w:eastAsiaTheme="majorEastAsia" w:cstheme="majorEastAsia"/>
          <w:b/>
          <w:sz w:val="28"/>
          <w:szCs w:val="28"/>
          <w:lang w:val="en-US" w:eastAsia="zh-CN"/>
        </w:rPr>
        <w:sectPr>
          <w:headerReference r:id="rId13" w:type="default"/>
          <w:footerReference r:id="rId14"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Theme="majorEastAsia" w:hAnsiTheme="majorEastAsia" w:eastAsiaTheme="majorEastAsia" w:cstheme="majorEastAsia"/>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29"/>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30"/>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1"/>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528820" cy="5760085"/>
            <wp:effectExtent l="0" t="0" r="5080"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2"/>
                    <a:stretch>
                      <a:fillRect/>
                    </a:stretch>
                  </pic:blipFill>
                  <pic:spPr>
                    <a:xfrm>
                      <a:off x="0" y="0"/>
                      <a:ext cx="4528820" cy="5760085"/>
                    </a:xfrm>
                    <a:prstGeom prst="rect">
                      <a:avLst/>
                    </a:prstGeom>
                  </pic:spPr>
                </pic:pic>
              </a:graphicData>
            </a:graphic>
          </wp:inline>
        </w:drawing>
      </w:r>
    </w:p>
    <w:p>
      <w:pPr>
        <w:jc w:val="left"/>
        <w:rPr>
          <w:rFonts w:hint="eastAsia" w:asciiTheme="majorEastAsia" w:hAnsiTheme="majorEastAsia" w:eastAsiaTheme="majorEastAsia" w:cstheme="majorEastAsia"/>
          <w:lang w:val="en-US" w:eastAsia="zh-CN"/>
        </w:rPr>
        <w:sectPr>
          <w:head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3"/>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4"/>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5"/>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6"/>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sectPr>
          <w:head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7"/>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8"/>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39"/>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40"/>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1"/>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2"/>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3"/>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4"/>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5"/>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6"/>
                    <a:stretch>
                      <a:fillRect/>
                    </a:stretch>
                  </pic:blipFill>
                  <pic:spPr>
                    <a:xfrm>
                      <a:off x="0" y="0"/>
                      <a:ext cx="4608195" cy="5723890"/>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2"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7"/>
                    <a:stretch>
                      <a:fillRect/>
                    </a:stretch>
                  </pic:blipFill>
                  <pic:spPr>
                    <a:xfrm>
                      <a:off x="0" y="0"/>
                      <a:ext cx="4608195" cy="5760085"/>
                    </a:xfrm>
                    <a:prstGeom prst="rect">
                      <a:avLst/>
                    </a:prstGeom>
                  </pic:spPr>
                </pic:pic>
              </a:graphicData>
            </a:graphic>
          </wp:inline>
        </w:drawing>
      </w:r>
    </w:p>
    <w:p>
      <w:pPr>
        <w:pStyle w:val="3"/>
        <w:numPr>
          <w:ilvl w:val="0"/>
          <w:numId w:val="0"/>
        </w:numPr>
        <w:tabs>
          <w:tab w:val="clear" w:pos="432"/>
        </w:tabs>
        <w:bidi w:val="0"/>
        <w:ind w:leftChars="0"/>
        <w:rPr>
          <w:rFonts w:hint="eastAsia" w:asciiTheme="majorEastAsia" w:hAnsiTheme="majorEastAsia" w:eastAsiaTheme="majorEastAsia" w:cstheme="majorEastAsia"/>
          <w:color w:val="auto"/>
          <w:sz w:val="28"/>
          <w:szCs w:val="28"/>
          <w:lang w:val="en-US" w:eastAsia="zh-CN"/>
        </w:rPr>
      </w:pPr>
      <w:bookmarkStart w:id="47" w:name="_Toc20050"/>
      <w:bookmarkStart w:id="48" w:name="_Toc27884"/>
      <w:r>
        <w:rPr>
          <w:rFonts w:hint="eastAsia" w:asciiTheme="majorEastAsia" w:hAnsiTheme="majorEastAsia" w:eastAsiaTheme="majorEastAsia" w:cstheme="majorEastAsia"/>
          <w:lang w:val="en-US" w:eastAsia="zh-CN"/>
        </w:rPr>
        <w:drawing>
          <wp:anchor distT="0" distB="0" distL="114300" distR="114300" simplePos="0" relativeHeight="251670528" behindDoc="0" locked="0" layoutInCell="1" allowOverlap="1">
            <wp:simplePos x="0" y="0"/>
            <wp:positionH relativeFrom="column">
              <wp:posOffset>4570095</wp:posOffset>
            </wp:positionH>
            <wp:positionV relativeFrom="paragraph">
              <wp:posOffset>524510</wp:posOffset>
            </wp:positionV>
            <wp:extent cx="4319905" cy="5400040"/>
            <wp:effectExtent l="0" t="0" r="4445" b="10160"/>
            <wp:wrapSquare wrapText="bothSides"/>
            <wp:docPr id="13" name="图片 13" descr="微信图片_20240321140409"/>
            <wp:cNvGraphicFramePr/>
            <a:graphic xmlns:a="http://schemas.openxmlformats.org/drawingml/2006/main">
              <a:graphicData uri="http://schemas.openxmlformats.org/drawingml/2006/picture">
                <pic:pic xmlns:pic="http://schemas.openxmlformats.org/drawingml/2006/picture">
                  <pic:nvPicPr>
                    <pic:cNvPr id="13" name="图片 13" descr="微信图片_20240321140409"/>
                    <pic:cNvPicPr/>
                  </pic:nvPicPr>
                  <pic:blipFill>
                    <a:blip r:embed="rId48"/>
                    <a:stretch>
                      <a:fillRect/>
                    </a:stretch>
                  </pic:blipFill>
                  <pic:spPr>
                    <a:xfrm>
                      <a:off x="0" y="0"/>
                      <a:ext cx="4319905" cy="5400040"/>
                    </a:xfrm>
                    <a:prstGeom prst="rect">
                      <a:avLst/>
                    </a:prstGeom>
                  </pic:spPr>
                </pic:pic>
              </a:graphicData>
            </a:graphic>
          </wp:anchor>
        </w:drawing>
      </w:r>
      <w:r>
        <w:rPr>
          <w:rFonts w:hint="eastAsia" w:asciiTheme="majorEastAsia" w:hAnsiTheme="majorEastAsia" w:eastAsiaTheme="majorEastAsia" w:cstheme="majorEastAsia"/>
          <w:color w:val="auto"/>
          <w:sz w:val="28"/>
          <w:szCs w:val="28"/>
          <w:lang w:val="en-US" w:eastAsia="zh-CN"/>
        </w:rPr>
        <w:drawing>
          <wp:anchor distT="0" distB="0" distL="114300" distR="114300" simplePos="0" relativeHeight="251669504" behindDoc="1" locked="0" layoutInCell="1" allowOverlap="1">
            <wp:simplePos x="0" y="0"/>
            <wp:positionH relativeFrom="column">
              <wp:posOffset>247650</wp:posOffset>
            </wp:positionH>
            <wp:positionV relativeFrom="paragraph">
              <wp:posOffset>520700</wp:posOffset>
            </wp:positionV>
            <wp:extent cx="4319905" cy="5400040"/>
            <wp:effectExtent l="0" t="0" r="4445" b="10160"/>
            <wp:wrapTight wrapText="bothSides">
              <wp:wrapPolygon>
                <wp:start x="0" y="0"/>
                <wp:lineTo x="0" y="21488"/>
                <wp:lineTo x="21527" y="21488"/>
                <wp:lineTo x="21527" y="0"/>
                <wp:lineTo x="0" y="0"/>
              </wp:wrapPolygon>
            </wp:wrapTight>
            <wp:docPr id="8" name="图片 8" descr="b4794ac8d2dc5976e274bee3ea953ca"/>
            <wp:cNvGraphicFramePr/>
            <a:graphic xmlns:a="http://schemas.openxmlformats.org/drawingml/2006/main">
              <a:graphicData uri="http://schemas.openxmlformats.org/drawingml/2006/picture">
                <pic:pic xmlns:pic="http://schemas.openxmlformats.org/drawingml/2006/picture">
                  <pic:nvPicPr>
                    <pic:cNvPr id="8" name="图片 8" descr="b4794ac8d2dc5976e274bee3ea953ca"/>
                    <pic:cNvPicPr/>
                  </pic:nvPicPr>
                  <pic:blipFill>
                    <a:blip r:embed="rId49"/>
                    <a:stretch>
                      <a:fillRect/>
                    </a:stretch>
                  </pic:blipFill>
                  <pic:spPr>
                    <a:xfrm>
                      <a:off x="0" y="0"/>
                      <a:ext cx="4319905" cy="5400040"/>
                    </a:xfrm>
                    <a:prstGeom prst="rect">
                      <a:avLst/>
                    </a:prstGeom>
                  </pic:spPr>
                </pic:pic>
              </a:graphicData>
            </a:graphic>
          </wp:anchor>
        </w:drawing>
      </w:r>
      <w:r>
        <w:rPr>
          <w:rFonts w:hint="eastAsia" w:asciiTheme="majorEastAsia" w:hAnsiTheme="majorEastAsia" w:eastAsiaTheme="majorEastAsia" w:cstheme="majorEastAsia"/>
          <w:b/>
          <w:color w:val="auto"/>
          <w:sz w:val="28"/>
          <w:szCs w:val="28"/>
          <w:lang w:val="en-US" w:eastAsia="zh-CN"/>
        </w:rPr>
        <w:t>9</w:t>
      </w:r>
      <w:r>
        <w:rPr>
          <w:rFonts w:hint="eastAsia" w:asciiTheme="majorEastAsia" w:hAnsiTheme="majorEastAsia" w:eastAsiaTheme="majorEastAsia" w:cstheme="majorEastAsia"/>
          <w:color w:val="auto"/>
          <w:sz w:val="28"/>
          <w:szCs w:val="28"/>
          <w:lang w:val="en-US" w:eastAsia="zh-CN"/>
        </w:rPr>
        <w:t>.现场检测照片</w:t>
      </w:r>
      <w:bookmarkEnd w:id="47"/>
      <w:bookmarkEnd w:id="48"/>
    </w:p>
    <w:p>
      <w:pPr>
        <w:jc w:val="center"/>
        <w:rPr>
          <w:rFonts w:hint="eastAsia" w:asciiTheme="majorEastAsia" w:hAnsiTheme="majorEastAsia" w:eastAsiaTheme="majorEastAsia" w:cstheme="majorEastAsia"/>
          <w:lang w:val="en-US" w:eastAsia="zh-CN"/>
        </w:rPr>
        <w:sectPr>
          <w:headerReference r:id="rId23" w:type="default"/>
          <w:footerReference r:id="rId2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pPr>
    </w:p>
    <w:p>
      <w:pPr>
        <w:pStyle w:val="3"/>
        <w:numPr>
          <w:ilvl w:val="0"/>
          <w:numId w:val="0"/>
        </w:numPr>
        <w:tabs>
          <w:tab w:val="clear" w:pos="432"/>
        </w:tabs>
        <w:bidi w:val="0"/>
        <w:ind w:leftChars="0"/>
        <w:rPr>
          <w:rFonts w:hint="eastAsia" w:asciiTheme="majorEastAsia" w:hAnsiTheme="majorEastAsia" w:eastAsiaTheme="majorEastAsia" w:cstheme="majorEastAsia"/>
          <w:color w:val="auto"/>
          <w:sz w:val="28"/>
          <w:szCs w:val="28"/>
          <w:lang w:val="en-US" w:eastAsia="zh-CN"/>
        </w:rPr>
      </w:pPr>
      <w:bookmarkStart w:id="49" w:name="_Toc18496"/>
      <w:bookmarkStart w:id="50" w:name="_Toc18828"/>
      <w:bookmarkStart w:id="51" w:name="_Toc23812"/>
      <w:bookmarkStart w:id="52" w:name="_Toc30699"/>
      <w:r>
        <w:rPr>
          <w:rFonts w:hint="eastAsia" w:asciiTheme="majorEastAsia" w:hAnsiTheme="majorEastAsia" w:eastAsiaTheme="majorEastAsia" w:cstheme="majorEastAsia"/>
          <w:color w:val="auto"/>
          <w:sz w:val="28"/>
          <w:szCs w:val="28"/>
          <w:lang w:val="en-US" w:eastAsia="zh-CN"/>
        </w:rPr>
        <w:t>10.质量保证和质量控制</w:t>
      </w:r>
      <w:bookmarkEnd w:id="49"/>
      <w:bookmarkEnd w:id="50"/>
      <w:bookmarkEnd w:id="51"/>
      <w:bookmarkEnd w:id="52"/>
    </w:p>
    <w:p>
      <w:pPr>
        <w:ind w:firstLine="420" w:firstLineChars="200"/>
        <w:jc w:val="left"/>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 xml:space="preserve">10.1 仪器投入使用前必须进行校准。 </w:t>
      </w:r>
    </w:p>
    <w:p>
      <w:pPr>
        <w:ind w:firstLine="420" w:firstLineChars="200"/>
        <w:jc w:val="left"/>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10.2 仪器投入使用前必须完成仪器示值相对误差的测定，测得的仪器示值相对误差必须小于 10％，仪器才能投入使用。</w:t>
      </w:r>
    </w:p>
    <w:p>
      <w:pPr>
        <w:ind w:firstLine="420" w:firstLineChars="200"/>
        <w:jc w:val="left"/>
        <w:rPr>
          <w:rFonts w:hint="eastAsia" w:asciiTheme="majorEastAsia" w:hAnsiTheme="majorEastAsia" w:eastAsiaTheme="majorEastAsia" w:cstheme="majorEastAsia"/>
        </w:rPr>
      </w:pPr>
      <w:r>
        <w:rPr>
          <w:rFonts w:hint="eastAsia" w:asciiTheme="majorEastAsia" w:hAnsiTheme="majorEastAsia" w:eastAsiaTheme="majorEastAsia" w:cstheme="majorEastAsia"/>
          <w:sz w:val="21"/>
          <w:szCs w:val="21"/>
          <w:lang w:val="en-US" w:eastAsia="zh-CN"/>
        </w:rPr>
        <w:t>10.3 检测时采样探头在待测设备或装置的相关部位外围移动速度不能过快，避免漏检最高浓度点。前一个待测源检测结束后转移到下一个待测源检测开始前，应确认仪器恢复到正常待测状态。</w:t>
      </w: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val="en-US" w:eastAsia="zh-CN"/>
        </w:rPr>
        <w:t>****************************</w:t>
      </w:r>
      <w:r>
        <w:rPr>
          <w:rFonts w:hint="eastAsia" w:asciiTheme="majorEastAsia" w:hAnsiTheme="majorEastAsia" w:eastAsiaTheme="majorEastAsia" w:cstheme="majorEastAsia"/>
          <w:b/>
          <w:bCs/>
          <w:lang w:val="en-US" w:eastAsia="zh-CN"/>
        </w:rPr>
        <w:t>本报告结束</w:t>
      </w:r>
      <w:r>
        <w:rPr>
          <w:rFonts w:hint="eastAsia" w:asciiTheme="majorEastAsia" w:hAnsiTheme="majorEastAsia" w:eastAsiaTheme="majorEastAsia" w:cstheme="majorEastAsia"/>
          <w:lang w:val="en-US" w:eastAsia="zh-CN"/>
        </w:rPr>
        <w:t>****************************</w:t>
      </w:r>
    </w:p>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257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6950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872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报告编号：（E检）字（2024）0006号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报告编号：（E检）字（2024）0006号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769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667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564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462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360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6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E4MmY0NWI4Zjk2MzQ0YzZkM2U5OTA4MGI4MzE2NDAifQ=="/>
  </w:docVars>
  <w:rsids>
    <w:rsidRoot w:val="00000000"/>
    <w:rsid w:val="000C024B"/>
    <w:rsid w:val="00386300"/>
    <w:rsid w:val="005C088A"/>
    <w:rsid w:val="005C2461"/>
    <w:rsid w:val="006B4F71"/>
    <w:rsid w:val="009444C8"/>
    <w:rsid w:val="00C14286"/>
    <w:rsid w:val="00E30FAC"/>
    <w:rsid w:val="00F50D1A"/>
    <w:rsid w:val="017B7436"/>
    <w:rsid w:val="01DD106E"/>
    <w:rsid w:val="02477318"/>
    <w:rsid w:val="030B47EA"/>
    <w:rsid w:val="030E7E36"/>
    <w:rsid w:val="038B1487"/>
    <w:rsid w:val="03A964DC"/>
    <w:rsid w:val="03B1713F"/>
    <w:rsid w:val="03CC21CB"/>
    <w:rsid w:val="040A2C1E"/>
    <w:rsid w:val="041D47D5"/>
    <w:rsid w:val="0430275A"/>
    <w:rsid w:val="0449381C"/>
    <w:rsid w:val="04FF3EDA"/>
    <w:rsid w:val="05453FE3"/>
    <w:rsid w:val="054A1AE0"/>
    <w:rsid w:val="056D0012"/>
    <w:rsid w:val="058A5256"/>
    <w:rsid w:val="058F525E"/>
    <w:rsid w:val="059706A5"/>
    <w:rsid w:val="05E277B3"/>
    <w:rsid w:val="05F61781"/>
    <w:rsid w:val="060519C4"/>
    <w:rsid w:val="0619721E"/>
    <w:rsid w:val="06565D7C"/>
    <w:rsid w:val="0673692E"/>
    <w:rsid w:val="068C79F0"/>
    <w:rsid w:val="069468A4"/>
    <w:rsid w:val="06954AF6"/>
    <w:rsid w:val="06AC0092"/>
    <w:rsid w:val="06BA1995"/>
    <w:rsid w:val="06EB0BBA"/>
    <w:rsid w:val="070240B9"/>
    <w:rsid w:val="07397B77"/>
    <w:rsid w:val="074E2EF7"/>
    <w:rsid w:val="07966D78"/>
    <w:rsid w:val="07DC17CB"/>
    <w:rsid w:val="07EA70C4"/>
    <w:rsid w:val="081558DE"/>
    <w:rsid w:val="08292466"/>
    <w:rsid w:val="08386081"/>
    <w:rsid w:val="087370B9"/>
    <w:rsid w:val="0889068B"/>
    <w:rsid w:val="08955281"/>
    <w:rsid w:val="08F71A98"/>
    <w:rsid w:val="09567987"/>
    <w:rsid w:val="09842C00"/>
    <w:rsid w:val="0992531D"/>
    <w:rsid w:val="09BC683E"/>
    <w:rsid w:val="09F431A5"/>
    <w:rsid w:val="0A0C1099"/>
    <w:rsid w:val="0A0E066B"/>
    <w:rsid w:val="0A23066B"/>
    <w:rsid w:val="0A367631"/>
    <w:rsid w:val="0A4800D1"/>
    <w:rsid w:val="0A525562"/>
    <w:rsid w:val="0A621193"/>
    <w:rsid w:val="0AA10FBC"/>
    <w:rsid w:val="0AA7304A"/>
    <w:rsid w:val="0AD96F7B"/>
    <w:rsid w:val="0B971310"/>
    <w:rsid w:val="0BA650B0"/>
    <w:rsid w:val="0BF640BE"/>
    <w:rsid w:val="0C112E71"/>
    <w:rsid w:val="0C232BA4"/>
    <w:rsid w:val="0C4A1EDF"/>
    <w:rsid w:val="0C767FF5"/>
    <w:rsid w:val="0C891501"/>
    <w:rsid w:val="0D714BA2"/>
    <w:rsid w:val="0DA6583B"/>
    <w:rsid w:val="0DFE574F"/>
    <w:rsid w:val="0E1A1D85"/>
    <w:rsid w:val="0E232634"/>
    <w:rsid w:val="0E3E4562"/>
    <w:rsid w:val="0E401CB6"/>
    <w:rsid w:val="0E935776"/>
    <w:rsid w:val="0E9E29B6"/>
    <w:rsid w:val="0EC35F79"/>
    <w:rsid w:val="0EDA3140"/>
    <w:rsid w:val="0EF2787B"/>
    <w:rsid w:val="0F233AE0"/>
    <w:rsid w:val="0F3A26DF"/>
    <w:rsid w:val="0F490B74"/>
    <w:rsid w:val="0F514529"/>
    <w:rsid w:val="0F7D5C51"/>
    <w:rsid w:val="0FBD6E6C"/>
    <w:rsid w:val="0FF705D0"/>
    <w:rsid w:val="0FFC5D0A"/>
    <w:rsid w:val="1003335A"/>
    <w:rsid w:val="106F460A"/>
    <w:rsid w:val="10B95885"/>
    <w:rsid w:val="10C5247C"/>
    <w:rsid w:val="10D96240"/>
    <w:rsid w:val="110875A2"/>
    <w:rsid w:val="112476E0"/>
    <w:rsid w:val="113B273E"/>
    <w:rsid w:val="11456B95"/>
    <w:rsid w:val="114F7F97"/>
    <w:rsid w:val="11CB1D14"/>
    <w:rsid w:val="11D566EF"/>
    <w:rsid w:val="11F12DFD"/>
    <w:rsid w:val="124949E7"/>
    <w:rsid w:val="1278474C"/>
    <w:rsid w:val="13180558"/>
    <w:rsid w:val="135632E1"/>
    <w:rsid w:val="139525D9"/>
    <w:rsid w:val="13B011C1"/>
    <w:rsid w:val="140935EF"/>
    <w:rsid w:val="142651EA"/>
    <w:rsid w:val="1489456F"/>
    <w:rsid w:val="149203B9"/>
    <w:rsid w:val="150B2427"/>
    <w:rsid w:val="15A1113A"/>
    <w:rsid w:val="15C70A44"/>
    <w:rsid w:val="15EC04AB"/>
    <w:rsid w:val="16024CD6"/>
    <w:rsid w:val="16445BF1"/>
    <w:rsid w:val="164C74A3"/>
    <w:rsid w:val="166103AE"/>
    <w:rsid w:val="166D339A"/>
    <w:rsid w:val="17085663"/>
    <w:rsid w:val="171E6442"/>
    <w:rsid w:val="17EE4066"/>
    <w:rsid w:val="17F51899"/>
    <w:rsid w:val="18350408"/>
    <w:rsid w:val="18B20FEC"/>
    <w:rsid w:val="194505FE"/>
    <w:rsid w:val="19A60327"/>
    <w:rsid w:val="19AA0461"/>
    <w:rsid w:val="19D02EB5"/>
    <w:rsid w:val="19D21766"/>
    <w:rsid w:val="19F569FF"/>
    <w:rsid w:val="1A584E84"/>
    <w:rsid w:val="1A5F2FF9"/>
    <w:rsid w:val="1A643EB5"/>
    <w:rsid w:val="1AD5775F"/>
    <w:rsid w:val="1B0E2C71"/>
    <w:rsid w:val="1B762CF0"/>
    <w:rsid w:val="1BA23AE5"/>
    <w:rsid w:val="1BB44881"/>
    <w:rsid w:val="1BBB0703"/>
    <w:rsid w:val="1BCD48DA"/>
    <w:rsid w:val="1BCE686A"/>
    <w:rsid w:val="1BD143CB"/>
    <w:rsid w:val="1C0328E9"/>
    <w:rsid w:val="1C250273"/>
    <w:rsid w:val="1CA90EA4"/>
    <w:rsid w:val="1CD30B9D"/>
    <w:rsid w:val="1CD37CCF"/>
    <w:rsid w:val="1D0B56BA"/>
    <w:rsid w:val="1D205B35"/>
    <w:rsid w:val="1D2C3DD4"/>
    <w:rsid w:val="1D4B5AB7"/>
    <w:rsid w:val="1D990F18"/>
    <w:rsid w:val="1DBD4DAD"/>
    <w:rsid w:val="1E340C41"/>
    <w:rsid w:val="1E7A2AF8"/>
    <w:rsid w:val="1EAE147A"/>
    <w:rsid w:val="1F82026C"/>
    <w:rsid w:val="1F971487"/>
    <w:rsid w:val="1FA0775C"/>
    <w:rsid w:val="1FAB0A8F"/>
    <w:rsid w:val="1FC3227C"/>
    <w:rsid w:val="1FCA4426"/>
    <w:rsid w:val="1FE76BB0"/>
    <w:rsid w:val="200A0535"/>
    <w:rsid w:val="20261010"/>
    <w:rsid w:val="20531852"/>
    <w:rsid w:val="20696B69"/>
    <w:rsid w:val="206C2B72"/>
    <w:rsid w:val="209D0D1F"/>
    <w:rsid w:val="20B147CB"/>
    <w:rsid w:val="21020B82"/>
    <w:rsid w:val="210E1EC1"/>
    <w:rsid w:val="214C591E"/>
    <w:rsid w:val="21763A3F"/>
    <w:rsid w:val="21B96E8B"/>
    <w:rsid w:val="21EA5DD8"/>
    <w:rsid w:val="21F42BC1"/>
    <w:rsid w:val="21F474E9"/>
    <w:rsid w:val="220426D8"/>
    <w:rsid w:val="22546AB4"/>
    <w:rsid w:val="22A50F8D"/>
    <w:rsid w:val="22CF0F38"/>
    <w:rsid w:val="22F24386"/>
    <w:rsid w:val="22FF1E77"/>
    <w:rsid w:val="23244DE0"/>
    <w:rsid w:val="23843AD1"/>
    <w:rsid w:val="23A478FE"/>
    <w:rsid w:val="23AD74CB"/>
    <w:rsid w:val="23D031BA"/>
    <w:rsid w:val="23F21F56"/>
    <w:rsid w:val="24455956"/>
    <w:rsid w:val="245060A9"/>
    <w:rsid w:val="24D726DF"/>
    <w:rsid w:val="2515018D"/>
    <w:rsid w:val="251B2213"/>
    <w:rsid w:val="25207829"/>
    <w:rsid w:val="25445C0D"/>
    <w:rsid w:val="256B25C7"/>
    <w:rsid w:val="25980EFF"/>
    <w:rsid w:val="26347A30"/>
    <w:rsid w:val="267C3185"/>
    <w:rsid w:val="267C4F33"/>
    <w:rsid w:val="268362C1"/>
    <w:rsid w:val="26873A72"/>
    <w:rsid w:val="27717C9E"/>
    <w:rsid w:val="28302479"/>
    <w:rsid w:val="28A47D06"/>
    <w:rsid w:val="28D52CEF"/>
    <w:rsid w:val="28E05C4D"/>
    <w:rsid w:val="290032A5"/>
    <w:rsid w:val="295C2DFA"/>
    <w:rsid w:val="29711695"/>
    <w:rsid w:val="29752839"/>
    <w:rsid w:val="29BB3FC4"/>
    <w:rsid w:val="29F6324E"/>
    <w:rsid w:val="2A3F581A"/>
    <w:rsid w:val="2A836E67"/>
    <w:rsid w:val="2AB32EED"/>
    <w:rsid w:val="2ACE1AD5"/>
    <w:rsid w:val="2AE00186"/>
    <w:rsid w:val="2AEA2DB3"/>
    <w:rsid w:val="2AFB3CEE"/>
    <w:rsid w:val="2B004385"/>
    <w:rsid w:val="2BCF7241"/>
    <w:rsid w:val="2C096436"/>
    <w:rsid w:val="2C16267E"/>
    <w:rsid w:val="2C1A76C8"/>
    <w:rsid w:val="2C931796"/>
    <w:rsid w:val="2CDA6E57"/>
    <w:rsid w:val="2CE37ABA"/>
    <w:rsid w:val="2D7921CC"/>
    <w:rsid w:val="2D8D3ECA"/>
    <w:rsid w:val="2E951288"/>
    <w:rsid w:val="2EA65243"/>
    <w:rsid w:val="2EF53AD4"/>
    <w:rsid w:val="2F695F55"/>
    <w:rsid w:val="2F990904"/>
    <w:rsid w:val="2F995D9A"/>
    <w:rsid w:val="2F9A3C90"/>
    <w:rsid w:val="2FB60690"/>
    <w:rsid w:val="301D32E3"/>
    <w:rsid w:val="30281C88"/>
    <w:rsid w:val="30756068"/>
    <w:rsid w:val="309E0C6F"/>
    <w:rsid w:val="30E74DBD"/>
    <w:rsid w:val="30EE7022"/>
    <w:rsid w:val="31052B89"/>
    <w:rsid w:val="310C0053"/>
    <w:rsid w:val="312468F3"/>
    <w:rsid w:val="312D1C4B"/>
    <w:rsid w:val="31570C88"/>
    <w:rsid w:val="31603DCF"/>
    <w:rsid w:val="31B71515"/>
    <w:rsid w:val="31C60C22"/>
    <w:rsid w:val="31E7004C"/>
    <w:rsid w:val="31ED3189"/>
    <w:rsid w:val="320751D0"/>
    <w:rsid w:val="323668DE"/>
    <w:rsid w:val="32425283"/>
    <w:rsid w:val="32D43E3A"/>
    <w:rsid w:val="32E7407C"/>
    <w:rsid w:val="33727DEA"/>
    <w:rsid w:val="339935C8"/>
    <w:rsid w:val="33C61769"/>
    <w:rsid w:val="34482EEA"/>
    <w:rsid w:val="345B087E"/>
    <w:rsid w:val="3467447F"/>
    <w:rsid w:val="347E631A"/>
    <w:rsid w:val="354E03E2"/>
    <w:rsid w:val="35512E0C"/>
    <w:rsid w:val="35814314"/>
    <w:rsid w:val="35A4650F"/>
    <w:rsid w:val="35C3492C"/>
    <w:rsid w:val="35FE7713"/>
    <w:rsid w:val="3632560E"/>
    <w:rsid w:val="370B70A1"/>
    <w:rsid w:val="371B2546"/>
    <w:rsid w:val="37D55DF2"/>
    <w:rsid w:val="37E1553E"/>
    <w:rsid w:val="38044D88"/>
    <w:rsid w:val="383970A0"/>
    <w:rsid w:val="38B976BC"/>
    <w:rsid w:val="38CD161E"/>
    <w:rsid w:val="392408E0"/>
    <w:rsid w:val="39322124"/>
    <w:rsid w:val="39395C4E"/>
    <w:rsid w:val="39B5307B"/>
    <w:rsid w:val="39D4535A"/>
    <w:rsid w:val="39D72754"/>
    <w:rsid w:val="3A137505"/>
    <w:rsid w:val="3A437DEA"/>
    <w:rsid w:val="3A4A5247"/>
    <w:rsid w:val="3AED7D56"/>
    <w:rsid w:val="3B00217F"/>
    <w:rsid w:val="3B1D2D68"/>
    <w:rsid w:val="3B4C2CCE"/>
    <w:rsid w:val="3B57750E"/>
    <w:rsid w:val="3B8D3E99"/>
    <w:rsid w:val="3BC76D3C"/>
    <w:rsid w:val="3C0D6901"/>
    <w:rsid w:val="3C1C7477"/>
    <w:rsid w:val="3C616C4D"/>
    <w:rsid w:val="3C7544A7"/>
    <w:rsid w:val="3C8E5F0B"/>
    <w:rsid w:val="3CA2575E"/>
    <w:rsid w:val="3CC64D02"/>
    <w:rsid w:val="3CC877B6"/>
    <w:rsid w:val="3CF143A5"/>
    <w:rsid w:val="3CF93D85"/>
    <w:rsid w:val="3D0465B1"/>
    <w:rsid w:val="3D0A4BEF"/>
    <w:rsid w:val="3D141F11"/>
    <w:rsid w:val="3D197528"/>
    <w:rsid w:val="3DD5344F"/>
    <w:rsid w:val="3DD96B8F"/>
    <w:rsid w:val="3E1644A1"/>
    <w:rsid w:val="3E274038"/>
    <w:rsid w:val="3E7F33BB"/>
    <w:rsid w:val="3EA82E54"/>
    <w:rsid w:val="3ED731F7"/>
    <w:rsid w:val="3F0044FB"/>
    <w:rsid w:val="3F161F71"/>
    <w:rsid w:val="3F2C3542"/>
    <w:rsid w:val="3F4D5267"/>
    <w:rsid w:val="3F5B3E28"/>
    <w:rsid w:val="3F6B62AF"/>
    <w:rsid w:val="3FA03909"/>
    <w:rsid w:val="3FBB6FA8"/>
    <w:rsid w:val="40152228"/>
    <w:rsid w:val="401C35B7"/>
    <w:rsid w:val="402D2122"/>
    <w:rsid w:val="403972F7"/>
    <w:rsid w:val="408D6263"/>
    <w:rsid w:val="40970E8F"/>
    <w:rsid w:val="40B51316"/>
    <w:rsid w:val="40C64412"/>
    <w:rsid w:val="41393CF5"/>
    <w:rsid w:val="41405083"/>
    <w:rsid w:val="41B45A71"/>
    <w:rsid w:val="41BB295C"/>
    <w:rsid w:val="41C21F3C"/>
    <w:rsid w:val="42010CB6"/>
    <w:rsid w:val="42206C63"/>
    <w:rsid w:val="423F533B"/>
    <w:rsid w:val="425A03C6"/>
    <w:rsid w:val="42DE0FF8"/>
    <w:rsid w:val="43104F29"/>
    <w:rsid w:val="43123EBE"/>
    <w:rsid w:val="43713C1A"/>
    <w:rsid w:val="43884ABF"/>
    <w:rsid w:val="43B34232"/>
    <w:rsid w:val="43D67F21"/>
    <w:rsid w:val="43E51F12"/>
    <w:rsid w:val="43EA7528"/>
    <w:rsid w:val="4498729F"/>
    <w:rsid w:val="44A1052F"/>
    <w:rsid w:val="44FA73AA"/>
    <w:rsid w:val="45352A25"/>
    <w:rsid w:val="455C1BA0"/>
    <w:rsid w:val="45781C53"/>
    <w:rsid w:val="457F1EF2"/>
    <w:rsid w:val="459935B0"/>
    <w:rsid w:val="45CA13BF"/>
    <w:rsid w:val="45D44177"/>
    <w:rsid w:val="45E760E3"/>
    <w:rsid w:val="461E170B"/>
    <w:rsid w:val="46496788"/>
    <w:rsid w:val="464B192A"/>
    <w:rsid w:val="467C183B"/>
    <w:rsid w:val="46D02A05"/>
    <w:rsid w:val="471A45C8"/>
    <w:rsid w:val="47822130"/>
    <w:rsid w:val="47B916EB"/>
    <w:rsid w:val="47ED3A8B"/>
    <w:rsid w:val="47FE35A2"/>
    <w:rsid w:val="489C2DDD"/>
    <w:rsid w:val="48BF0F83"/>
    <w:rsid w:val="48FD0C44"/>
    <w:rsid w:val="49180694"/>
    <w:rsid w:val="49523BA5"/>
    <w:rsid w:val="497524EA"/>
    <w:rsid w:val="49816239"/>
    <w:rsid w:val="49D56585"/>
    <w:rsid w:val="4A4F6337"/>
    <w:rsid w:val="4A590F64"/>
    <w:rsid w:val="4A87456B"/>
    <w:rsid w:val="4AC24D5B"/>
    <w:rsid w:val="4B663938"/>
    <w:rsid w:val="4BF52F0E"/>
    <w:rsid w:val="4C3D6C70"/>
    <w:rsid w:val="4C4023DB"/>
    <w:rsid w:val="4CC5397E"/>
    <w:rsid w:val="4D467EC5"/>
    <w:rsid w:val="4DA4699A"/>
    <w:rsid w:val="4DC1579E"/>
    <w:rsid w:val="4E21448E"/>
    <w:rsid w:val="4E7C1FBD"/>
    <w:rsid w:val="4E816CDB"/>
    <w:rsid w:val="4F1162B1"/>
    <w:rsid w:val="4F581676"/>
    <w:rsid w:val="4F921EB2"/>
    <w:rsid w:val="5019366F"/>
    <w:rsid w:val="501F67AB"/>
    <w:rsid w:val="507C68AE"/>
    <w:rsid w:val="50F33EC0"/>
    <w:rsid w:val="510936E3"/>
    <w:rsid w:val="5119769F"/>
    <w:rsid w:val="517F5754"/>
    <w:rsid w:val="51C04AD1"/>
    <w:rsid w:val="525C5A95"/>
    <w:rsid w:val="525E11CE"/>
    <w:rsid w:val="52781FDF"/>
    <w:rsid w:val="52B21B59"/>
    <w:rsid w:val="52B7716F"/>
    <w:rsid w:val="536569AE"/>
    <w:rsid w:val="53B4545D"/>
    <w:rsid w:val="53C27B7A"/>
    <w:rsid w:val="53EA3D76"/>
    <w:rsid w:val="53EC4BF7"/>
    <w:rsid w:val="542E16B3"/>
    <w:rsid w:val="54CC288D"/>
    <w:rsid w:val="54D67D81"/>
    <w:rsid w:val="557D01FC"/>
    <w:rsid w:val="55872E29"/>
    <w:rsid w:val="55B87486"/>
    <w:rsid w:val="55E069DD"/>
    <w:rsid w:val="56002BDB"/>
    <w:rsid w:val="56356262"/>
    <w:rsid w:val="563B3C13"/>
    <w:rsid w:val="567075D8"/>
    <w:rsid w:val="56723AD9"/>
    <w:rsid w:val="56737851"/>
    <w:rsid w:val="56847368"/>
    <w:rsid w:val="569062D3"/>
    <w:rsid w:val="56A10AD4"/>
    <w:rsid w:val="56A25A40"/>
    <w:rsid w:val="57233025"/>
    <w:rsid w:val="574D1F5E"/>
    <w:rsid w:val="57575FA1"/>
    <w:rsid w:val="57601B83"/>
    <w:rsid w:val="57EA338C"/>
    <w:rsid w:val="58006EC2"/>
    <w:rsid w:val="580469B3"/>
    <w:rsid w:val="580544D9"/>
    <w:rsid w:val="58802EA3"/>
    <w:rsid w:val="588875E4"/>
    <w:rsid w:val="58A9755A"/>
    <w:rsid w:val="58F92290"/>
    <w:rsid w:val="59513E7A"/>
    <w:rsid w:val="59653481"/>
    <w:rsid w:val="5A317807"/>
    <w:rsid w:val="5A407A4A"/>
    <w:rsid w:val="5A932270"/>
    <w:rsid w:val="5AA24261"/>
    <w:rsid w:val="5AE221B5"/>
    <w:rsid w:val="5AFB7E85"/>
    <w:rsid w:val="5B3550D5"/>
    <w:rsid w:val="5B661732"/>
    <w:rsid w:val="5B751A8B"/>
    <w:rsid w:val="5B791466"/>
    <w:rsid w:val="5B7F45A2"/>
    <w:rsid w:val="5BA858A7"/>
    <w:rsid w:val="5BB57FC4"/>
    <w:rsid w:val="5BD06CAF"/>
    <w:rsid w:val="5BFC12F8"/>
    <w:rsid w:val="5C0827EA"/>
    <w:rsid w:val="5C4834F1"/>
    <w:rsid w:val="5C5872CD"/>
    <w:rsid w:val="5CAC586B"/>
    <w:rsid w:val="5CAE5844"/>
    <w:rsid w:val="5D69550A"/>
    <w:rsid w:val="5D7A2356"/>
    <w:rsid w:val="5E930A90"/>
    <w:rsid w:val="5EA42C9D"/>
    <w:rsid w:val="5EDD7F5D"/>
    <w:rsid w:val="5EEA61D6"/>
    <w:rsid w:val="5F021772"/>
    <w:rsid w:val="5F090D52"/>
    <w:rsid w:val="5F1533A5"/>
    <w:rsid w:val="5F24793A"/>
    <w:rsid w:val="5F697A43"/>
    <w:rsid w:val="5F7A755A"/>
    <w:rsid w:val="5F8A0A2F"/>
    <w:rsid w:val="5F9C3975"/>
    <w:rsid w:val="5FBB029F"/>
    <w:rsid w:val="5FED2422"/>
    <w:rsid w:val="606644A2"/>
    <w:rsid w:val="606856F7"/>
    <w:rsid w:val="607034DD"/>
    <w:rsid w:val="60874625"/>
    <w:rsid w:val="60CA62C0"/>
    <w:rsid w:val="60DF1D6B"/>
    <w:rsid w:val="60F90953"/>
    <w:rsid w:val="610726FE"/>
    <w:rsid w:val="61D92C5E"/>
    <w:rsid w:val="620239AC"/>
    <w:rsid w:val="620B7DE6"/>
    <w:rsid w:val="621228FA"/>
    <w:rsid w:val="62710E5F"/>
    <w:rsid w:val="62952928"/>
    <w:rsid w:val="629923ED"/>
    <w:rsid w:val="62CC27C3"/>
    <w:rsid w:val="62CC631F"/>
    <w:rsid w:val="62CD2097"/>
    <w:rsid w:val="64742395"/>
    <w:rsid w:val="64E33DF4"/>
    <w:rsid w:val="6517738C"/>
    <w:rsid w:val="65257F68"/>
    <w:rsid w:val="65424FBE"/>
    <w:rsid w:val="65C9123C"/>
    <w:rsid w:val="66285F62"/>
    <w:rsid w:val="667967BE"/>
    <w:rsid w:val="669058B5"/>
    <w:rsid w:val="66C73294"/>
    <w:rsid w:val="670D5158"/>
    <w:rsid w:val="67242128"/>
    <w:rsid w:val="67542D87"/>
    <w:rsid w:val="677463FB"/>
    <w:rsid w:val="67852F40"/>
    <w:rsid w:val="679715F1"/>
    <w:rsid w:val="679E27C8"/>
    <w:rsid w:val="67C73559"/>
    <w:rsid w:val="67CB129B"/>
    <w:rsid w:val="67FF33DC"/>
    <w:rsid w:val="681608D8"/>
    <w:rsid w:val="688E3837"/>
    <w:rsid w:val="68C24EB2"/>
    <w:rsid w:val="69B04F50"/>
    <w:rsid w:val="69D4361E"/>
    <w:rsid w:val="6A2124C5"/>
    <w:rsid w:val="6A3F387A"/>
    <w:rsid w:val="6A707ED8"/>
    <w:rsid w:val="6AA13AE8"/>
    <w:rsid w:val="6AA8002E"/>
    <w:rsid w:val="6AB04778"/>
    <w:rsid w:val="6ABC311D"/>
    <w:rsid w:val="6B1906BD"/>
    <w:rsid w:val="6B3233DF"/>
    <w:rsid w:val="6B451364"/>
    <w:rsid w:val="6B5A2284"/>
    <w:rsid w:val="6B5E2426"/>
    <w:rsid w:val="6B64343E"/>
    <w:rsid w:val="6B7834E8"/>
    <w:rsid w:val="6BBB33D4"/>
    <w:rsid w:val="6BC93D43"/>
    <w:rsid w:val="6C562B32"/>
    <w:rsid w:val="6CB70040"/>
    <w:rsid w:val="6CC4210F"/>
    <w:rsid w:val="6CE677BF"/>
    <w:rsid w:val="6D284A9A"/>
    <w:rsid w:val="6D417909"/>
    <w:rsid w:val="6D464F20"/>
    <w:rsid w:val="6D510469"/>
    <w:rsid w:val="6D75460D"/>
    <w:rsid w:val="6D9516A5"/>
    <w:rsid w:val="6DB36D0A"/>
    <w:rsid w:val="6DC72505"/>
    <w:rsid w:val="6E153270"/>
    <w:rsid w:val="6E49116B"/>
    <w:rsid w:val="6E601EF3"/>
    <w:rsid w:val="6EB74327"/>
    <w:rsid w:val="6EBC36EB"/>
    <w:rsid w:val="6ECC6094"/>
    <w:rsid w:val="6F484F7F"/>
    <w:rsid w:val="6F5002D8"/>
    <w:rsid w:val="6F51652A"/>
    <w:rsid w:val="6F571666"/>
    <w:rsid w:val="6F72024E"/>
    <w:rsid w:val="70001CFE"/>
    <w:rsid w:val="702F35E3"/>
    <w:rsid w:val="70D93433"/>
    <w:rsid w:val="7104112D"/>
    <w:rsid w:val="711315BD"/>
    <w:rsid w:val="712E63F7"/>
    <w:rsid w:val="719646C8"/>
    <w:rsid w:val="71BE00D3"/>
    <w:rsid w:val="71F238C8"/>
    <w:rsid w:val="723F6DAC"/>
    <w:rsid w:val="72840E99"/>
    <w:rsid w:val="72A92354"/>
    <w:rsid w:val="72EE1508"/>
    <w:rsid w:val="72FF629D"/>
    <w:rsid w:val="730218E9"/>
    <w:rsid w:val="730B4E43"/>
    <w:rsid w:val="732B70FF"/>
    <w:rsid w:val="73CA0659"/>
    <w:rsid w:val="73DC65DE"/>
    <w:rsid w:val="73E32F80"/>
    <w:rsid w:val="74066A6C"/>
    <w:rsid w:val="740D2C3B"/>
    <w:rsid w:val="742064CB"/>
    <w:rsid w:val="744E79E5"/>
    <w:rsid w:val="745F3497"/>
    <w:rsid w:val="749018A2"/>
    <w:rsid w:val="74D67E95"/>
    <w:rsid w:val="74EC697A"/>
    <w:rsid w:val="756B5E6B"/>
    <w:rsid w:val="75740E5F"/>
    <w:rsid w:val="767575B7"/>
    <w:rsid w:val="768C42EB"/>
    <w:rsid w:val="769A5ACE"/>
    <w:rsid w:val="76A96C4B"/>
    <w:rsid w:val="76AE24B4"/>
    <w:rsid w:val="76C92E49"/>
    <w:rsid w:val="76F61765"/>
    <w:rsid w:val="771F2A69"/>
    <w:rsid w:val="772B58B2"/>
    <w:rsid w:val="7731279D"/>
    <w:rsid w:val="784B1673"/>
    <w:rsid w:val="784C1F84"/>
    <w:rsid w:val="7860333A"/>
    <w:rsid w:val="78746DE5"/>
    <w:rsid w:val="78B56F1F"/>
    <w:rsid w:val="79D0629D"/>
    <w:rsid w:val="79FD2E0A"/>
    <w:rsid w:val="7A1B7E60"/>
    <w:rsid w:val="7A2D7B93"/>
    <w:rsid w:val="7A460C55"/>
    <w:rsid w:val="7B452CBB"/>
    <w:rsid w:val="7B711D02"/>
    <w:rsid w:val="7B7A2964"/>
    <w:rsid w:val="7BAE260E"/>
    <w:rsid w:val="7BE91898"/>
    <w:rsid w:val="7C1D7794"/>
    <w:rsid w:val="7C324FED"/>
    <w:rsid w:val="7C6D26FD"/>
    <w:rsid w:val="7C7F3FAA"/>
    <w:rsid w:val="7C9378B1"/>
    <w:rsid w:val="7CAD0598"/>
    <w:rsid w:val="7D1C7A4B"/>
    <w:rsid w:val="7D4A2E89"/>
    <w:rsid w:val="7D4C5627"/>
    <w:rsid w:val="7DBD122E"/>
    <w:rsid w:val="7DD722F0"/>
    <w:rsid w:val="7E0429B9"/>
    <w:rsid w:val="7E096221"/>
    <w:rsid w:val="7E1A21DD"/>
    <w:rsid w:val="7E605637"/>
    <w:rsid w:val="7E701DB9"/>
    <w:rsid w:val="7EAD056A"/>
    <w:rsid w:val="7F2826D7"/>
    <w:rsid w:val="7F413C14"/>
    <w:rsid w:val="7F7D36B1"/>
    <w:rsid w:val="7F952C51"/>
    <w:rsid w:val="7FB126CD"/>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image" Target="media/image16.png"/><Relationship Id="rId4" Type="http://schemas.openxmlformats.org/officeDocument/2006/relationships/header" Target="header2.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jpe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theme" Target="theme/theme1.xml"/><Relationship Id="rId24" Type="http://schemas.openxmlformats.org/officeDocument/2006/relationships/footer" Target="footer8.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Pages>
  <Words>2082</Words>
  <Characters>2523</Characters>
  <Lines>0</Lines>
  <Paragraphs>0</Paragraphs>
  <TotalTime>2</TotalTime>
  <ScaleCrop>false</ScaleCrop>
  <LinksUpToDate>false</LinksUpToDate>
  <CharactersWithSpaces>2801</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2024-03-30T00:58:18Z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BFFB6D83E8E747BE8037F509FC15E78E_13</vt:lpwstr>
  </property>
</Properties>
</file>